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2" w:rsidRDefault="00260A42" w:rsidP="00260A42">
      <w:pPr>
        <w:rPr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260A42" w:rsidRDefault="00260A42" w:rsidP="00A12D4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A12D45" w:rsidRPr="00260A42" w:rsidRDefault="00A12D45" w:rsidP="00A12D4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260A42" w:rsidRPr="00260A42" w:rsidRDefault="00991177" w:rsidP="00260A42">
      <w:pPr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26 апреля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 w:rsidR="00260A42">
        <w:rPr>
          <w:rFonts w:ascii="Times New Roman" w:hAnsi="Times New Roman" w:cs="Times New Roman"/>
          <w:b/>
          <w:spacing w:val="20"/>
          <w:sz w:val="28"/>
        </w:rPr>
        <w:t>6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   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ab/>
        <w:t xml:space="preserve">                            </w:t>
      </w:r>
      <w:r w:rsidR="0007208E">
        <w:rPr>
          <w:rFonts w:ascii="Times New Roman" w:hAnsi="Times New Roman" w:cs="Times New Roman"/>
          <w:b/>
          <w:spacing w:val="20"/>
          <w:sz w:val="28"/>
        </w:rPr>
        <w:t xml:space="preserve">                  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236</w:t>
      </w:r>
    </w:p>
    <w:p w:rsidR="00260A42" w:rsidRPr="00260A42" w:rsidRDefault="00260A42" w:rsidP="00A12D45">
      <w:pPr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260A42" w:rsidRDefault="00260A42" w:rsidP="0026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A42">
        <w:rPr>
          <w:rFonts w:ascii="Times New Roman" w:hAnsi="Times New Roman" w:cs="Times New Roman"/>
          <w:color w:val="000000"/>
          <w:sz w:val="28"/>
          <w:szCs w:val="28"/>
        </w:rPr>
        <w:t>О результатах работы системы</w:t>
      </w:r>
    </w:p>
    <w:p w:rsidR="00260A42" w:rsidRDefault="00260A42" w:rsidP="0026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на территории г.Тулуна</w:t>
      </w:r>
    </w:p>
    <w:p w:rsidR="00260A42" w:rsidRDefault="00260A42" w:rsidP="0026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и Тулунского района в 2015 году</w:t>
      </w:r>
    </w:p>
    <w:p w:rsidR="00260A42" w:rsidRPr="00260A42" w:rsidRDefault="00260A42" w:rsidP="00260A42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 xml:space="preserve">   </w:t>
      </w:r>
      <w:r w:rsidRPr="00260A42">
        <w:rPr>
          <w:rFonts w:ascii="Times New Roman" w:hAnsi="Times New Roman" w:cs="Times New Roman"/>
          <w:spacing w:val="20"/>
          <w:sz w:val="28"/>
        </w:rPr>
        <w:tab/>
        <w:t xml:space="preserve">Заслушав информацию </w:t>
      </w:r>
      <w:r>
        <w:rPr>
          <w:rFonts w:ascii="Times New Roman" w:hAnsi="Times New Roman" w:cs="Times New Roman"/>
          <w:spacing w:val="20"/>
          <w:sz w:val="28"/>
        </w:rPr>
        <w:t>главного врача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ОГБУЗ «Тулунская </w:t>
      </w:r>
      <w:r>
        <w:rPr>
          <w:rFonts w:ascii="Times New Roman" w:hAnsi="Times New Roman" w:cs="Times New Roman"/>
          <w:spacing w:val="20"/>
          <w:sz w:val="28"/>
        </w:rPr>
        <w:t>городская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больница» </w:t>
      </w:r>
      <w:r>
        <w:rPr>
          <w:rFonts w:ascii="Times New Roman" w:hAnsi="Times New Roman" w:cs="Times New Roman"/>
          <w:spacing w:val="20"/>
          <w:sz w:val="28"/>
        </w:rPr>
        <w:t>Е.И.Демещик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 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работы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>здравоохранения на территории г.Тулуна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и Тулунского района в 2015 году</w:t>
      </w:r>
      <w:r w:rsidRPr="00260A42">
        <w:rPr>
          <w:rFonts w:ascii="Times New Roman" w:hAnsi="Times New Roman" w:cs="Times New Roman"/>
          <w:spacing w:val="20"/>
          <w:sz w:val="28"/>
        </w:rPr>
        <w:t>, руководствуясь статьей 27  Устава муниципального образования «Тулунский район», Дума Тулунского муниципального района</w:t>
      </w:r>
    </w:p>
    <w:p w:rsidR="00260A42" w:rsidRPr="00260A42" w:rsidRDefault="00260A42" w:rsidP="00260A42">
      <w:pPr>
        <w:ind w:firstLine="540"/>
        <w:jc w:val="both"/>
        <w:rPr>
          <w:rFonts w:ascii="Times New Roman" w:hAnsi="Times New Roman" w:cs="Times New Roman"/>
          <w:spacing w:val="20"/>
          <w:sz w:val="28"/>
        </w:rPr>
      </w:pPr>
    </w:p>
    <w:p w:rsidR="00260A42" w:rsidRP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260A42" w:rsidRPr="00260A42" w:rsidRDefault="00260A42" w:rsidP="00260A42">
      <w:pPr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 xml:space="preserve">1.Информацию </w:t>
      </w:r>
      <w:r>
        <w:rPr>
          <w:rFonts w:ascii="Times New Roman" w:hAnsi="Times New Roman" w:cs="Times New Roman"/>
          <w:spacing w:val="20"/>
          <w:sz w:val="28"/>
        </w:rPr>
        <w:t>главного врача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ОГБУЗ «Тулунская </w:t>
      </w:r>
      <w:r>
        <w:rPr>
          <w:rFonts w:ascii="Times New Roman" w:hAnsi="Times New Roman" w:cs="Times New Roman"/>
          <w:spacing w:val="20"/>
          <w:sz w:val="28"/>
        </w:rPr>
        <w:t>городская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больница» </w:t>
      </w:r>
      <w:r>
        <w:rPr>
          <w:rFonts w:ascii="Times New Roman" w:hAnsi="Times New Roman" w:cs="Times New Roman"/>
          <w:spacing w:val="20"/>
          <w:sz w:val="28"/>
        </w:rPr>
        <w:t>Е.И.Демещик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о 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работы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>здравоохранения на территории г.Тулуна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A42">
        <w:rPr>
          <w:rFonts w:ascii="Times New Roman" w:hAnsi="Times New Roman" w:cs="Times New Roman"/>
          <w:color w:val="000000"/>
          <w:sz w:val="28"/>
          <w:szCs w:val="28"/>
        </w:rPr>
        <w:t xml:space="preserve"> и Тулунского района в 2015 году</w:t>
      </w:r>
      <w:r w:rsidRPr="00260A42">
        <w:rPr>
          <w:rFonts w:ascii="Times New Roman" w:hAnsi="Times New Roman" w:cs="Times New Roman"/>
          <w:spacing w:val="20"/>
          <w:sz w:val="28"/>
        </w:rPr>
        <w:t xml:space="preserve"> принять к сведению (прилагается).</w:t>
      </w:r>
    </w:p>
    <w:p w:rsidR="00260A42" w:rsidRPr="00260A42" w:rsidRDefault="00260A42" w:rsidP="00260A42">
      <w:pPr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Председатель Думы Тулунского</w:t>
      </w: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муниципального района                                                  М.И.Бордов</w:t>
      </w:r>
    </w:p>
    <w:p w:rsidR="00260A42" w:rsidRPr="00260A42" w:rsidRDefault="00260A42" w:rsidP="00260A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 xml:space="preserve">Мэр Тулунского </w:t>
      </w:r>
    </w:p>
    <w:p w:rsidR="00260A42" w:rsidRPr="00260A42" w:rsidRDefault="0007208E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муниципального </w:t>
      </w:r>
      <w:r w:rsidR="00260A42" w:rsidRPr="00260A42">
        <w:rPr>
          <w:rFonts w:ascii="Times New Roman" w:hAnsi="Times New Roman" w:cs="Times New Roman"/>
          <w:spacing w:val="20"/>
          <w:sz w:val="28"/>
        </w:rPr>
        <w:t xml:space="preserve">района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                   </w:t>
      </w:r>
      <w:r w:rsidR="00260A42" w:rsidRPr="00260A42">
        <w:rPr>
          <w:rFonts w:ascii="Times New Roman" w:hAnsi="Times New Roman" w:cs="Times New Roman"/>
          <w:spacing w:val="20"/>
          <w:sz w:val="28"/>
        </w:rPr>
        <w:t>М.И.Гильдебрант</w:t>
      </w: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</w:p>
    <w:p w:rsidR="00260A42" w:rsidRPr="00260A42" w:rsidRDefault="00260A42" w:rsidP="00260A42">
      <w:pPr>
        <w:rPr>
          <w:rFonts w:ascii="Times New Roman" w:hAnsi="Times New Roman" w:cs="Times New Roman"/>
          <w:sz w:val="28"/>
          <w:szCs w:val="28"/>
        </w:rPr>
      </w:pPr>
    </w:p>
    <w:p w:rsidR="00A12D45" w:rsidRDefault="00A12D45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45" w:rsidRDefault="00260A42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2D45" w:rsidRDefault="00260A42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A42">
        <w:rPr>
          <w:rFonts w:ascii="Times New Roman" w:hAnsi="Times New Roman" w:cs="Times New Roman"/>
          <w:sz w:val="28"/>
          <w:szCs w:val="28"/>
        </w:rPr>
        <w:t xml:space="preserve"> к решению Думы</w:t>
      </w:r>
      <w:r w:rsidR="00A12D45">
        <w:rPr>
          <w:rFonts w:ascii="Times New Roman" w:hAnsi="Times New Roman" w:cs="Times New Roman"/>
          <w:sz w:val="28"/>
          <w:szCs w:val="28"/>
        </w:rPr>
        <w:t xml:space="preserve"> </w:t>
      </w:r>
      <w:r w:rsidRPr="00260A42">
        <w:rPr>
          <w:rFonts w:ascii="Times New Roman" w:hAnsi="Times New Roman" w:cs="Times New Roman"/>
          <w:sz w:val="28"/>
          <w:szCs w:val="28"/>
        </w:rPr>
        <w:t>Тулунского</w:t>
      </w:r>
    </w:p>
    <w:p w:rsidR="00260A42" w:rsidRPr="00260A42" w:rsidRDefault="00260A42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A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0A42" w:rsidRPr="00260A42" w:rsidRDefault="00260A42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99117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__» ___</w:t>
      </w:r>
      <w:r w:rsidR="0099117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________ 2016</w:t>
      </w:r>
      <w:r w:rsidRPr="00260A4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42">
        <w:rPr>
          <w:rFonts w:ascii="Times New Roman" w:hAnsi="Times New Roman" w:cs="Times New Roman"/>
          <w:sz w:val="28"/>
          <w:szCs w:val="28"/>
        </w:rPr>
        <w:t>№ _</w:t>
      </w:r>
      <w:r w:rsidR="00991177">
        <w:rPr>
          <w:rFonts w:ascii="Times New Roman" w:hAnsi="Times New Roman" w:cs="Times New Roman"/>
          <w:sz w:val="28"/>
          <w:szCs w:val="28"/>
        </w:rPr>
        <w:t>236</w:t>
      </w:r>
      <w:bookmarkStart w:id="0" w:name="_GoBack"/>
      <w:bookmarkEnd w:id="0"/>
      <w:r w:rsidRPr="00260A42">
        <w:rPr>
          <w:rFonts w:ascii="Times New Roman" w:hAnsi="Times New Roman" w:cs="Times New Roman"/>
          <w:sz w:val="28"/>
          <w:szCs w:val="28"/>
        </w:rPr>
        <w:t>___</w:t>
      </w:r>
    </w:p>
    <w:p w:rsidR="00CD0670" w:rsidRDefault="00CD0670" w:rsidP="00FC01E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36"/>
          <w:szCs w:val="28"/>
        </w:rPr>
      </w:pPr>
    </w:p>
    <w:p w:rsidR="00FC01ED" w:rsidRPr="00FC01ED" w:rsidRDefault="00FC01ED" w:rsidP="00FC01ED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/>
          <w:bCs/>
          <w:color w:val="000000" w:themeColor="text1"/>
          <w:kern w:val="24"/>
          <w:sz w:val="44"/>
          <w:szCs w:val="28"/>
          <w:lang w:eastAsia="ru-RU"/>
        </w:rPr>
      </w:pPr>
    </w:p>
    <w:p w:rsidR="00FC01ED" w:rsidRPr="00FC01ED" w:rsidRDefault="00FC01ED" w:rsidP="00FC01E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FC01E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</w:t>
      </w:r>
      <w:r w:rsidR="00CD0670" w:rsidRPr="00FC01E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результатах работы системы здравоохранения</w:t>
      </w:r>
    </w:p>
    <w:p w:rsidR="0039113A" w:rsidRPr="00FC01ED" w:rsidRDefault="00CD0670" w:rsidP="00FC01E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FC01E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на территории г.Тулуна и Тулунского района</w:t>
      </w:r>
    </w:p>
    <w:p w:rsidR="00CD0670" w:rsidRPr="00FC01ED" w:rsidRDefault="00CD0670" w:rsidP="00FC01E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01ED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 2015 год</w:t>
      </w:r>
    </w:p>
    <w:p w:rsidR="00CD0670" w:rsidRPr="002A2D4A" w:rsidRDefault="00CD0670" w:rsidP="00024EBE">
      <w:pPr>
        <w:pStyle w:val="a3"/>
        <w:spacing w:before="115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ED7A19" w:rsidRPr="00FC01ED" w:rsidRDefault="00ED7A19" w:rsidP="00024EBE">
      <w:pPr>
        <w:pStyle w:val="a3"/>
        <w:spacing w:before="115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C01ED">
        <w:rPr>
          <w:rFonts w:eastAsia="+mn-ea"/>
          <w:color w:val="000000"/>
          <w:kern w:val="24"/>
          <w:sz w:val="28"/>
          <w:szCs w:val="28"/>
        </w:rPr>
        <w:t>Население г. Тулуна и Тулунского района в динамике за 3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2"/>
        <w:gridCol w:w="1229"/>
        <w:gridCol w:w="1229"/>
        <w:gridCol w:w="1229"/>
      </w:tblGrid>
      <w:tr w:rsidR="00ED7A19" w:rsidRPr="00FC01ED" w:rsidTr="00ED7A19">
        <w:tc>
          <w:tcPr>
            <w:tcW w:w="0" w:type="auto"/>
          </w:tcPr>
          <w:p w:rsidR="00ED7A19" w:rsidRPr="00FC01ED" w:rsidRDefault="00ED7A1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ED7A19" w:rsidRPr="00FC01ED" w:rsidRDefault="00ED7A1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ED7A19" w:rsidRPr="00FC01ED" w:rsidRDefault="00ED7A1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ED7A19" w:rsidRPr="00FC01ED" w:rsidRDefault="00ED7A1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2015 год</w:t>
            </w:r>
          </w:p>
        </w:tc>
      </w:tr>
      <w:tr w:rsidR="00ED7A19" w:rsidRPr="00FC01ED" w:rsidTr="00ED7A19"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Все население 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69564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68629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68102</w:t>
            </w:r>
          </w:p>
        </w:tc>
      </w:tr>
      <w:tr w:rsidR="00ED7A19" w:rsidRPr="00FC01ED" w:rsidTr="00ED7A19"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Взрослое население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52267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51193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50528</w:t>
            </w:r>
          </w:p>
        </w:tc>
      </w:tr>
      <w:tr w:rsidR="00ED7A19" w:rsidRPr="00FC01ED" w:rsidTr="00ED7A19"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38613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37316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36289</w:t>
            </w:r>
          </w:p>
        </w:tc>
      </w:tr>
      <w:tr w:rsidR="00ED7A19" w:rsidRPr="00FC01ED" w:rsidTr="00ED7A19"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Работающее население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19590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19465</w:t>
            </w:r>
          </w:p>
        </w:tc>
        <w:tc>
          <w:tcPr>
            <w:tcW w:w="0" w:type="auto"/>
          </w:tcPr>
          <w:p w:rsidR="00ED7A19" w:rsidRPr="00FC01ED" w:rsidRDefault="00C50E29" w:rsidP="00024EBE">
            <w:pPr>
              <w:pStyle w:val="a3"/>
              <w:spacing w:before="115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18917</w:t>
            </w:r>
          </w:p>
        </w:tc>
      </w:tr>
    </w:tbl>
    <w:p w:rsidR="00ED7A19" w:rsidRPr="00FC01ED" w:rsidRDefault="00ED7A19" w:rsidP="00024EBE">
      <w:pPr>
        <w:pStyle w:val="a3"/>
        <w:spacing w:before="115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024EBE" w:rsidRPr="00FC01ED" w:rsidRDefault="00024EBE" w:rsidP="00024EBE">
      <w:pPr>
        <w:pStyle w:val="a3"/>
        <w:spacing w:before="115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C01ED">
        <w:rPr>
          <w:rFonts w:eastAsia="+mn-ea"/>
          <w:color w:val="000000"/>
          <w:kern w:val="24"/>
          <w:sz w:val="28"/>
          <w:szCs w:val="28"/>
        </w:rPr>
        <w:t>Основные демографические показатели г. Тулуна и Тулунского района в динамике за 3 года:</w:t>
      </w:r>
    </w:p>
    <w:p w:rsidR="00024EBE" w:rsidRPr="00FC01ED" w:rsidRDefault="00024EBE" w:rsidP="00024EBE">
      <w:pPr>
        <w:pStyle w:val="a3"/>
        <w:spacing w:before="115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69"/>
        <w:gridCol w:w="1159"/>
        <w:gridCol w:w="1159"/>
        <w:gridCol w:w="1159"/>
      </w:tblGrid>
      <w:tr w:rsidR="00024EBE" w:rsidRPr="00FC01ED" w:rsidTr="00024EBE">
        <w:tc>
          <w:tcPr>
            <w:tcW w:w="0" w:type="auto"/>
          </w:tcPr>
          <w:p w:rsidR="00024EBE" w:rsidRPr="00FC01ED" w:rsidRDefault="00024EBE" w:rsidP="00024EBE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Показатель на     1000  населения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2013год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2014год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2015год</w:t>
            </w:r>
          </w:p>
        </w:tc>
      </w:tr>
      <w:tr w:rsidR="00024EBE" w:rsidRPr="00FC01ED" w:rsidTr="00024EBE"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Рождаемость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16,3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16,3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14,9</w:t>
            </w:r>
          </w:p>
        </w:tc>
      </w:tr>
      <w:tr w:rsidR="00024EBE" w:rsidRPr="00FC01ED" w:rsidTr="00024EBE"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Общая смертность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14,1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14,29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14,4</w:t>
            </w:r>
          </w:p>
        </w:tc>
      </w:tr>
      <w:tr w:rsidR="00024EBE" w:rsidRPr="00FC01ED" w:rsidTr="00024EBE"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Естественный прирост (убыль)</w:t>
            </w:r>
          </w:p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населения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2,01</w:t>
            </w:r>
          </w:p>
        </w:tc>
        <w:tc>
          <w:tcPr>
            <w:tcW w:w="0" w:type="auto"/>
          </w:tcPr>
          <w:p w:rsidR="00024EBE" w:rsidRPr="00FC01ED" w:rsidRDefault="00024EBE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0,5</w:t>
            </w:r>
          </w:p>
        </w:tc>
      </w:tr>
      <w:tr w:rsidR="00C50E29" w:rsidRPr="00FC01ED" w:rsidTr="00024EBE"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10,1</w:t>
            </w:r>
          </w:p>
        </w:tc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9,8</w:t>
            </w:r>
          </w:p>
        </w:tc>
      </w:tr>
      <w:tr w:rsidR="00C50E29" w:rsidRPr="00FC01ED" w:rsidTr="00024EBE"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Детская смертность</w:t>
            </w:r>
          </w:p>
        </w:tc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126,1</w:t>
            </w:r>
          </w:p>
        </w:tc>
        <w:tc>
          <w:tcPr>
            <w:tcW w:w="0" w:type="auto"/>
          </w:tcPr>
          <w:p w:rsidR="00C50E29" w:rsidRPr="00FC01ED" w:rsidRDefault="00C50E29" w:rsidP="00EE7294">
            <w:pPr>
              <w:pStyle w:val="a3"/>
              <w:spacing w:before="115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C01ED">
              <w:rPr>
                <w:rFonts w:eastAsia="+mn-ea"/>
                <w:color w:val="000000"/>
                <w:kern w:val="24"/>
                <w:sz w:val="28"/>
                <w:szCs w:val="28"/>
              </w:rPr>
              <w:t>119,5</w:t>
            </w:r>
          </w:p>
        </w:tc>
      </w:tr>
    </w:tbl>
    <w:p w:rsidR="0039113A" w:rsidRPr="00FC01ED" w:rsidRDefault="0039113A" w:rsidP="00EE7294">
      <w:pPr>
        <w:pStyle w:val="a3"/>
        <w:spacing w:before="115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  <w:lang w:val="en-US"/>
        </w:rPr>
      </w:pPr>
    </w:p>
    <w:p w:rsidR="00024EBE" w:rsidRPr="002A2D4A" w:rsidRDefault="00024EBE" w:rsidP="00EE7294">
      <w:pPr>
        <w:pStyle w:val="a3"/>
        <w:spacing w:before="115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>Как видно из таблиц</w:t>
      </w:r>
      <w:proofErr w:type="gramStart"/>
      <w:r w:rsidRPr="002A2D4A">
        <w:rPr>
          <w:rFonts w:eastAsia="+mn-ea"/>
          <w:color w:val="000000"/>
          <w:kern w:val="24"/>
          <w:sz w:val="28"/>
          <w:szCs w:val="28"/>
        </w:rPr>
        <w:t>ы-</w:t>
      </w:r>
      <w:proofErr w:type="gramEnd"/>
      <w:r w:rsidRPr="002A2D4A">
        <w:rPr>
          <w:rFonts w:eastAsia="+mn-ea"/>
          <w:color w:val="000000"/>
          <w:kern w:val="24"/>
          <w:sz w:val="28"/>
          <w:szCs w:val="28"/>
        </w:rPr>
        <w:t xml:space="preserve">  за 2013-2014гг показатели рождаемости, общей смертности, естественного прироста населения  имели незначительную негативную динамику.</w:t>
      </w:r>
      <w:r w:rsidR="00ED7A19" w:rsidRPr="002A2D4A">
        <w:rPr>
          <w:rFonts w:eastAsia="+mn-ea"/>
          <w:color w:val="000000"/>
          <w:kern w:val="24"/>
          <w:sz w:val="28"/>
          <w:szCs w:val="28"/>
        </w:rPr>
        <w:t xml:space="preserve"> За 2015 год негативная тенденция усилилась и коррелирует с экономической нестабильностью. Показатель рождаемости уменьшился на 1,4 и составляет 14,9. Показатель общей смертности увеличился на 0,1 и составляет 14,4. Естественный прирост населения уменьшился на 1,51, но сохранил позитивное значение и составляет 0,5. </w:t>
      </w:r>
      <w:r w:rsidR="0021175A" w:rsidRPr="002A2D4A">
        <w:rPr>
          <w:sz w:val="28"/>
          <w:szCs w:val="28"/>
        </w:rPr>
        <w:t xml:space="preserve">В скором </w:t>
      </w:r>
      <w:proofErr w:type="gramStart"/>
      <w:r w:rsidR="0021175A" w:rsidRPr="002A2D4A">
        <w:rPr>
          <w:sz w:val="28"/>
          <w:szCs w:val="28"/>
        </w:rPr>
        <w:t>времени</w:t>
      </w:r>
      <w:proofErr w:type="gramEnd"/>
      <w:r w:rsidR="0021175A" w:rsidRPr="002A2D4A">
        <w:rPr>
          <w:sz w:val="28"/>
          <w:szCs w:val="28"/>
        </w:rPr>
        <w:t xml:space="preserve"> возможно снижение рождаемости ввиду того, что сейчас  пришла пора заводить детей тем, кто родился в период демографического спада.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lastRenderedPageBreak/>
        <w:t xml:space="preserve">Система здравоохранения г. Тулуна представлена  больничными учреждениями, амбулаторно-поликлиническими учреждениями,   противотуберкулезным диспансером. Структура здравоохранения Тулунского района представлена пятью участковыми больницами, имеющими терапевтические отделения и поликлиники и Алгатуйской врачебной амбулаторией. В состав участковых больниц и амбулатории входят </w:t>
      </w:r>
      <w:r w:rsidRPr="002A2D4A">
        <w:rPr>
          <w:rFonts w:eastAsia="+mn-ea"/>
          <w:color w:val="000000" w:themeColor="text1"/>
          <w:kern w:val="24"/>
          <w:sz w:val="28"/>
          <w:szCs w:val="28"/>
        </w:rPr>
        <w:t>44</w:t>
      </w:r>
      <w:r w:rsidRPr="002A2D4A">
        <w:rPr>
          <w:rFonts w:eastAsia="+mn-ea"/>
          <w:color w:val="000000"/>
          <w:kern w:val="24"/>
          <w:sz w:val="28"/>
          <w:szCs w:val="28"/>
        </w:rPr>
        <w:t xml:space="preserve">  фельдшерско-акушерских пункта.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  <w:t>В целях повышения эффективности и оптимизации функционирования государственной системы здравоохранен</w:t>
      </w:r>
      <w:r w:rsidR="00C50E29" w:rsidRPr="002A2D4A">
        <w:rPr>
          <w:rFonts w:eastAsia="+mn-ea"/>
          <w:color w:val="000000"/>
          <w:kern w:val="24"/>
          <w:sz w:val="28"/>
          <w:szCs w:val="28"/>
        </w:rPr>
        <w:t>ия в 2015 году произошла ре</w:t>
      </w:r>
      <w:r w:rsidRPr="002A2D4A">
        <w:rPr>
          <w:rFonts w:eastAsia="+mn-ea"/>
          <w:color w:val="000000"/>
          <w:kern w:val="24"/>
          <w:sz w:val="28"/>
          <w:szCs w:val="28"/>
        </w:rPr>
        <w:t>организация ОГБУЗ  «Тулунская городская больница» в форме присоединения к ней Тулунской районной больницы</w:t>
      </w:r>
      <w:r w:rsidR="00EE7294" w:rsidRPr="002A2D4A">
        <w:rPr>
          <w:rFonts w:eastAsia="+mn-ea"/>
          <w:color w:val="000000"/>
          <w:kern w:val="24"/>
          <w:sz w:val="28"/>
          <w:szCs w:val="28"/>
        </w:rPr>
        <w:t>.</w:t>
      </w:r>
    </w:p>
    <w:p w:rsidR="00C53A42" w:rsidRPr="002A2D4A" w:rsidRDefault="00EE7294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A2D4A">
        <w:rPr>
          <w:rFonts w:eastAsia="+mn-ea"/>
          <w:color w:val="000000"/>
          <w:kern w:val="24"/>
          <w:sz w:val="28"/>
          <w:szCs w:val="28"/>
        </w:rPr>
        <w:t>В</w:t>
      </w:r>
      <w:r w:rsidR="00C53A42" w:rsidRPr="002A2D4A">
        <w:rPr>
          <w:rFonts w:eastAsia="+mn-ea"/>
          <w:color w:val="000000"/>
          <w:kern w:val="24"/>
          <w:sz w:val="28"/>
          <w:szCs w:val="28"/>
        </w:rPr>
        <w:t xml:space="preserve"> целях оказания первой помощи населению, в соответствии с приказом от 15 мая 2012 года №543н «Об утверждении положения об организации оказания первичной медико-санитарной помощи взрослому населению» в редакции приказа Минздрава России № 361н в 2015 году проведена работа по созданию сети </w:t>
      </w:r>
      <w:r w:rsidR="00C53A42" w:rsidRPr="002A2D4A">
        <w:rPr>
          <w:rFonts w:eastAsia="+mn-ea"/>
          <w:b/>
          <w:color w:val="000000"/>
          <w:kern w:val="24"/>
          <w:sz w:val="28"/>
          <w:szCs w:val="28"/>
        </w:rPr>
        <w:t>домовых хозяйств</w:t>
      </w:r>
      <w:r w:rsidR="00C53A42" w:rsidRPr="002A2D4A">
        <w:rPr>
          <w:rFonts w:eastAsia="+mn-ea"/>
          <w:color w:val="000000"/>
          <w:kern w:val="24"/>
          <w:sz w:val="28"/>
          <w:szCs w:val="28"/>
        </w:rPr>
        <w:t xml:space="preserve"> в населенных пунктах с численностью до 100 человек,  расположенных на расстоянии более 6 км от ближайшей медицинской</w:t>
      </w:r>
      <w:proofErr w:type="gramEnd"/>
      <w:r w:rsidR="00C53A42" w:rsidRPr="002A2D4A">
        <w:rPr>
          <w:rFonts w:eastAsia="+mn-ea"/>
          <w:color w:val="000000"/>
          <w:kern w:val="24"/>
          <w:sz w:val="28"/>
          <w:szCs w:val="28"/>
        </w:rPr>
        <w:t xml:space="preserve"> организации. 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</w:r>
      <w:proofErr w:type="gramStart"/>
      <w:r w:rsidRPr="002A2D4A">
        <w:rPr>
          <w:rFonts w:eastAsia="+mn-ea"/>
          <w:color w:val="000000"/>
          <w:kern w:val="24"/>
          <w:sz w:val="28"/>
          <w:szCs w:val="28"/>
        </w:rPr>
        <w:t xml:space="preserve">Медицинские организации отвечают за оснащение домовых хозяйств аптечками, обучение ответственных за домовые хозяйства и, совместно с администрациями, за поиск ответственных за домовые хозяйства. </w:t>
      </w:r>
      <w:proofErr w:type="gramEnd"/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  <w:t>На данный момент открыто 9 домовых хозяйств.</w:t>
      </w:r>
      <w:r w:rsidRPr="002A2D4A">
        <w:rPr>
          <w:rFonts w:eastAsia="+mn-ea"/>
          <w:color w:val="000000"/>
          <w:kern w:val="24"/>
          <w:sz w:val="28"/>
          <w:szCs w:val="28"/>
        </w:rPr>
        <w:tab/>
        <w:t xml:space="preserve">С ноября 2015 года в домовые хозяйства за первой помощью обратилось 21 человек, скорая помощь вызвана к 6 пострадавшим (28,6%), из них 2 человек доставлены в медицинские учреждения – это реально спасенные жизни людей. </w:t>
      </w:r>
      <w:r w:rsidR="00EE7294" w:rsidRPr="002A2D4A">
        <w:rPr>
          <w:rFonts w:eastAsia="+mn-ea"/>
          <w:color w:val="000000"/>
          <w:kern w:val="24"/>
          <w:sz w:val="28"/>
          <w:szCs w:val="28"/>
        </w:rPr>
        <w:t xml:space="preserve">В 2016 году планируется проведение обучения навыкам оказания первой помощи </w:t>
      </w:r>
      <w:proofErr w:type="gramStart"/>
      <w:r w:rsidR="00EE7294" w:rsidRPr="002A2D4A">
        <w:rPr>
          <w:rFonts w:eastAsia="+mn-ea"/>
          <w:color w:val="000000"/>
          <w:kern w:val="24"/>
          <w:sz w:val="28"/>
          <w:szCs w:val="28"/>
        </w:rPr>
        <w:t>ответственных</w:t>
      </w:r>
      <w:proofErr w:type="gramEnd"/>
      <w:r w:rsidR="00EE7294" w:rsidRPr="002A2D4A">
        <w:rPr>
          <w:rFonts w:eastAsia="+mn-ea"/>
          <w:color w:val="000000"/>
          <w:kern w:val="24"/>
          <w:sz w:val="28"/>
          <w:szCs w:val="28"/>
        </w:rPr>
        <w:t xml:space="preserve"> за домовые хозяйства специалистами Областного отделения Красного Креста на безвозмездной основе.</w:t>
      </w:r>
      <w:r w:rsidRPr="002A2D4A">
        <w:rPr>
          <w:rFonts w:eastAsia="+mn-ea"/>
          <w:color w:val="000000"/>
          <w:kern w:val="24"/>
          <w:sz w:val="28"/>
          <w:szCs w:val="28"/>
        </w:rPr>
        <w:tab/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center"/>
        <w:rPr>
          <w:color w:val="000000" w:themeColor="text1"/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В медицинской организации  прослеживается четкая тенденция к снижению роли круглосуточного стационара в оказании медицинской помощи в г. Тулуне и Тулунском районе. В 2013году обеспеченность  населения круглосуточными койками на 10 тысяч населения составила 64,4, в 2014году-59,3, в 2015г-56,9</w:t>
      </w:r>
      <w:r w:rsidR="00024EBE" w:rsidRPr="002A2D4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  <w:t>По дневному стационару  в 2013- 2014-2015 годах отмечается  тенденция к развитию этого вида помощи  с 10,2 до 11,3 (среднеобластной показатель 12,9 до 12,2 на 10 тыс. нас.),  отставание области от РФ – на 29,5%.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  <w:t>В 2014 году  число амбулаторных посещений на 1 жителя, составило 8,5;  в 2015г.-8,3. Данный показатель  должен увеличиться при повышении числа лиц, находящихся на диспансерном наблюдении и проведении  в полном объеме второго этапа диспансеризации. Роль этого вида помощи в настоящее время возрастает.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По сравнению с 2013 годом снизилась  нагрузка на скорую медицинскую помощ</w:t>
      </w:r>
      <w:proofErr w:type="gramStart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ь–</w:t>
      </w:r>
      <w:proofErr w:type="gramEnd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положительная динамика, свидетельствующая о повышении эффективности амбулаторно-поликлинической помощи. При улучшении 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показателей диспансеризации и развитии системы неотложной помощи в амбулаторных условиях показатель, характеризующий объем оказания скорой медицинской помощи, должен значительно снизиться. </w:t>
      </w:r>
    </w:p>
    <w:p w:rsidR="00C53A42" w:rsidRPr="002A2D4A" w:rsidRDefault="00C53A42" w:rsidP="00EE7294">
      <w:pPr>
        <w:pStyle w:val="a3"/>
        <w:spacing w:before="12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По работе дневного стационара отмечается  неисполнение объемов на 1,4% плана определенного ТПГГ. </w:t>
      </w:r>
    </w:p>
    <w:p w:rsidR="00C53A42" w:rsidRPr="002A2D4A" w:rsidRDefault="00C53A42" w:rsidP="00EE7294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 xml:space="preserve">По оказанию СМП показатель ниже  норматива, определенного ТПГГ на 3,1% </w:t>
      </w:r>
    </w:p>
    <w:p w:rsidR="00C53A42" w:rsidRPr="002A2D4A" w:rsidRDefault="00C53A42" w:rsidP="00EE7294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>Показатель работы круглосуточного стационара  на 15,7% превышает норматив, определенный ТПГГ.</w:t>
      </w:r>
    </w:p>
    <w:p w:rsidR="00C53A42" w:rsidRPr="002A2D4A" w:rsidRDefault="00C53A42" w:rsidP="00EE7294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>Амбулаторная помощь оказана на 94,1% от норматива, определенного ТПГГ</w:t>
      </w:r>
    </w:p>
    <w:p w:rsidR="00C53A42" w:rsidRPr="002A2D4A" w:rsidRDefault="00C53A42" w:rsidP="00EE7294">
      <w:pPr>
        <w:pStyle w:val="a3"/>
        <w:spacing w:before="120" w:beforeAutospacing="0" w:after="0" w:afterAutospacing="0"/>
        <w:ind w:left="446" w:hanging="446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>Неотложная помощь  работает  на  9,7%  больше от норматива</w:t>
      </w:r>
    </w:p>
    <w:p w:rsidR="00C53A42" w:rsidRPr="002A2D4A" w:rsidRDefault="00C53A42" w:rsidP="00EE7294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 xml:space="preserve">Обращения по заболеваниям освоены практически </w:t>
      </w:r>
      <w:r w:rsidR="007E3840" w:rsidRPr="002A2D4A">
        <w:rPr>
          <w:rFonts w:eastAsiaTheme="minorEastAsia"/>
          <w:color w:val="000000"/>
          <w:kern w:val="24"/>
          <w:sz w:val="28"/>
          <w:szCs w:val="28"/>
        </w:rPr>
        <w:t>в соответствии с нормативами.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 xml:space="preserve">Одним из критериев работы коечного фонда является работа койки.  Показатель Иркутской области на </w:t>
      </w:r>
      <w:proofErr w:type="gramStart"/>
      <w:r w:rsidRPr="002A2D4A">
        <w:rPr>
          <w:rFonts w:eastAsiaTheme="minorEastAsia"/>
          <w:color w:val="000000"/>
          <w:kern w:val="24"/>
          <w:sz w:val="28"/>
          <w:szCs w:val="28"/>
        </w:rPr>
        <w:t>протяжении</w:t>
      </w:r>
      <w:proofErr w:type="gramEnd"/>
      <w:r w:rsidRPr="002A2D4A">
        <w:rPr>
          <w:rFonts w:eastAsiaTheme="minorEastAsia"/>
          <w:color w:val="000000"/>
          <w:kern w:val="24"/>
          <w:sz w:val="28"/>
          <w:szCs w:val="28"/>
        </w:rPr>
        <w:t xml:space="preserve"> года в пределах норматива (320-340 дней в зависимости от профиля койки),  В ОГБУЗ  «Тулунская городская больница» работа койки в 2015году -329 дней.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 xml:space="preserve">Основной задачей по созданию условий привлекательности специальности «медицинский работник» является заработная плата. </w:t>
      </w:r>
    </w:p>
    <w:p w:rsidR="00C53A42" w:rsidRPr="002A2D4A" w:rsidRDefault="00C53A42" w:rsidP="00EE7294">
      <w:pPr>
        <w:pStyle w:val="a3"/>
        <w:spacing w:before="108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 xml:space="preserve">Начиная с 2011 года, в рамках Программы модернизации, «майских» Указов Президента РФ, выполняются мероприятия по повышению </w:t>
      </w:r>
      <w:proofErr w:type="gramStart"/>
      <w:r w:rsidRPr="002A2D4A">
        <w:rPr>
          <w:rFonts w:eastAsiaTheme="minorEastAsia"/>
          <w:color w:val="000000"/>
          <w:kern w:val="24"/>
          <w:sz w:val="28"/>
          <w:szCs w:val="28"/>
        </w:rPr>
        <w:t>уровня оплаты труда работников здравоохранения</w:t>
      </w:r>
      <w:proofErr w:type="gramEnd"/>
    </w:p>
    <w:p w:rsidR="00C53A42" w:rsidRPr="002A2D4A" w:rsidRDefault="00C53A42" w:rsidP="00EE7294">
      <w:pPr>
        <w:pStyle w:val="a3"/>
        <w:spacing w:before="108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ab/>
        <w:t xml:space="preserve"> за 2015 год заработная плата составила:</w:t>
      </w:r>
      <w:r w:rsidRPr="002A2D4A">
        <w:rPr>
          <w:rFonts w:eastAsiaTheme="minorEastAsia"/>
          <w:color w:val="000000"/>
          <w:kern w:val="24"/>
          <w:sz w:val="28"/>
          <w:szCs w:val="28"/>
        </w:rPr>
        <w:tab/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center"/>
        <w:rPr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>В 2015г. Врачи-50558,32;  Средние медицинские работники: 21143,0; младший медицинский персонал: 13380,08</w:t>
      </w:r>
    </w:p>
    <w:p w:rsidR="00024EBE" w:rsidRPr="002A2D4A" w:rsidRDefault="00C53A42" w:rsidP="00024EBE">
      <w:pPr>
        <w:pStyle w:val="a3"/>
        <w:spacing w:before="108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2A2D4A">
        <w:rPr>
          <w:rFonts w:eastAsiaTheme="minorEastAsia"/>
          <w:color w:val="000000"/>
          <w:kern w:val="24"/>
          <w:sz w:val="28"/>
          <w:szCs w:val="28"/>
        </w:rPr>
        <w:t xml:space="preserve"> В 2016 году перед нами стоит задача сохранить достигнутый уровень оплаты труда.</w:t>
      </w:r>
    </w:p>
    <w:p w:rsidR="00C50E29" w:rsidRPr="002A2D4A" w:rsidRDefault="00C50E29" w:rsidP="00024EBE">
      <w:pPr>
        <w:pStyle w:val="a3"/>
        <w:spacing w:before="108" w:beforeAutospacing="0" w:after="0" w:afterAutospacing="0"/>
        <w:jc w:val="both"/>
        <w:textAlignment w:val="baseline"/>
        <w:rPr>
          <w:sz w:val="28"/>
          <w:szCs w:val="28"/>
        </w:rPr>
      </w:pPr>
    </w:p>
    <w:p w:rsidR="00C53A42" w:rsidRPr="002A2D4A" w:rsidRDefault="00C53A42" w:rsidP="00EE729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 xml:space="preserve">Основным фактором, влияющим на доступность и качество медицинской помощи населению, является обеспеченность медицинскими кадрами системы здравоохранения г.Тулуна и Тулунского района. </w:t>
      </w:r>
    </w:p>
    <w:p w:rsidR="00C53A42" w:rsidRPr="002A2D4A" w:rsidRDefault="00C53A42" w:rsidP="00EE729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  <w:t>Обеспеченность врачами  со</w:t>
      </w:r>
      <w:r w:rsidR="00425628" w:rsidRPr="002A2D4A">
        <w:rPr>
          <w:rFonts w:eastAsia="+mn-ea"/>
          <w:color w:val="000000"/>
          <w:kern w:val="24"/>
          <w:sz w:val="28"/>
          <w:szCs w:val="28"/>
        </w:rPr>
        <w:t xml:space="preserve">ставляет 12,2 на 10 </w:t>
      </w:r>
      <w:proofErr w:type="spellStart"/>
      <w:r w:rsidR="00425628" w:rsidRPr="002A2D4A">
        <w:rPr>
          <w:rFonts w:eastAsia="+mn-ea"/>
          <w:color w:val="000000"/>
          <w:kern w:val="24"/>
          <w:sz w:val="28"/>
          <w:szCs w:val="28"/>
        </w:rPr>
        <w:t>тыс</w:t>
      </w:r>
      <w:proofErr w:type="gramStart"/>
      <w:r w:rsidR="00425628" w:rsidRPr="002A2D4A">
        <w:rPr>
          <w:rFonts w:eastAsia="+mn-ea"/>
          <w:color w:val="000000"/>
          <w:kern w:val="24"/>
          <w:sz w:val="28"/>
          <w:szCs w:val="28"/>
        </w:rPr>
        <w:t>.н</w:t>
      </w:r>
      <w:proofErr w:type="gramEnd"/>
      <w:r w:rsidR="00425628" w:rsidRPr="002A2D4A">
        <w:rPr>
          <w:rFonts w:eastAsia="+mn-ea"/>
          <w:color w:val="000000"/>
          <w:kern w:val="24"/>
          <w:sz w:val="28"/>
          <w:szCs w:val="28"/>
        </w:rPr>
        <w:t>асе</w:t>
      </w:r>
      <w:r w:rsidR="00C50E29" w:rsidRPr="002A2D4A">
        <w:rPr>
          <w:rFonts w:eastAsia="+mn-ea"/>
          <w:color w:val="000000"/>
          <w:kern w:val="24"/>
          <w:sz w:val="28"/>
          <w:szCs w:val="28"/>
        </w:rPr>
        <w:t>ления</w:t>
      </w:r>
      <w:proofErr w:type="spellEnd"/>
      <w:r w:rsidRPr="002A2D4A">
        <w:rPr>
          <w:rFonts w:eastAsia="+mn-ea"/>
          <w:color w:val="000000"/>
          <w:kern w:val="24"/>
          <w:sz w:val="28"/>
          <w:szCs w:val="28"/>
        </w:rPr>
        <w:t>, среднеобластной показатель-35,3; средним медицинским персоналом</w:t>
      </w:r>
      <w:r w:rsidR="00C50E29" w:rsidRPr="002A2D4A">
        <w:rPr>
          <w:rFonts w:eastAsia="+mn-ea"/>
          <w:color w:val="000000"/>
          <w:kern w:val="24"/>
          <w:sz w:val="28"/>
          <w:szCs w:val="28"/>
        </w:rPr>
        <w:t>-</w:t>
      </w:r>
      <w:r w:rsidRPr="002A2D4A">
        <w:rPr>
          <w:rFonts w:eastAsia="+mn-ea"/>
          <w:color w:val="000000"/>
          <w:kern w:val="24"/>
          <w:sz w:val="28"/>
          <w:szCs w:val="28"/>
        </w:rPr>
        <w:t xml:space="preserve"> 98,5  на 10 000 населения, среднеобластной показатель-94,5. </w:t>
      </w:r>
    </w:p>
    <w:p w:rsidR="00C53A42" w:rsidRPr="002A2D4A" w:rsidRDefault="00C53A42" w:rsidP="00EE729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  <w:t>Укомплектованность врачами и средним медицинским персоналом по учреждению составляет соответственно  41 и 83,6%.</w:t>
      </w:r>
    </w:p>
    <w:p w:rsidR="00C53A42" w:rsidRPr="002A2D4A" w:rsidRDefault="00C53A42" w:rsidP="008B0FA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  <w:t xml:space="preserve">Низкая укомплектованность врачебными кадрами обусловлена ростом штатного расписания в соответствии с введением порядков оказания медицинской помощи и дефицитом медицинских кадров, вызванным, в первую очередь, </w:t>
      </w:r>
      <w:r w:rsidRPr="002A2D4A">
        <w:rPr>
          <w:rFonts w:eastAsia="+mn-ea"/>
          <w:color w:val="000000"/>
          <w:kern w:val="24"/>
          <w:sz w:val="28"/>
          <w:szCs w:val="28"/>
        </w:rPr>
        <w:lastRenderedPageBreak/>
        <w:t>недостаточным притоком в отрасль молодых специалистов, что обусловлено, прежде всего, недостаточным уровнем привлекательности работы в сфере здравоохранения. В настоящее время именно выпускники медицинских вузов являются одной из наиболее уязвимых категорий с точки зрения потери медицинских кадров. Молодых специалистов не устраивают материальные и профессиональные перспективы работы в здравоохранении.</w:t>
      </w:r>
    </w:p>
    <w:p w:rsidR="00C53A42" w:rsidRPr="002A2D4A" w:rsidRDefault="00C53A42" w:rsidP="00EE729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spacing w:val="10"/>
          <w:kern w:val="24"/>
          <w:sz w:val="28"/>
          <w:szCs w:val="28"/>
        </w:rPr>
        <w:t>Для привлечения медицинских кадров требуется решение приоритетных задач.</w:t>
      </w:r>
    </w:p>
    <w:p w:rsidR="00C53A42" w:rsidRPr="002A2D4A" w:rsidRDefault="00C53A42" w:rsidP="00EE72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>Ответственность за привлечение медицинских кадров в равной степени возложена на министерство здравоохранения, медицинские организации, образовательные организации и муниципальные образования.</w:t>
      </w:r>
    </w:p>
    <w:p w:rsidR="00C53A42" w:rsidRPr="002A2D4A" w:rsidRDefault="00C53A42" w:rsidP="00EE7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  <w:t>Для решения проблем укомплектованности кадрами требуется комплексный и системный подход всех участников кадровой политики.</w:t>
      </w:r>
    </w:p>
    <w:p w:rsidR="00C53A42" w:rsidRPr="002A2D4A" w:rsidRDefault="00C53A42" w:rsidP="00EE729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  <w:t>Привлечение медицинских кадров подразумевает не только улучшение планирования потребности в них, их подготовки, повышения квалификации, эффективной расстановки и рационального использования, но и решение ряда социальных вопросов</w:t>
      </w:r>
      <w:r w:rsidR="00C50E29"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таких</w:t>
      </w:r>
      <w:r w:rsidR="00C50E29" w:rsidRPr="002A2D4A">
        <w:rPr>
          <w:rFonts w:eastAsiaTheme="minorEastAsia"/>
          <w:color w:val="000000" w:themeColor="text1"/>
          <w:kern w:val="24"/>
          <w:sz w:val="28"/>
          <w:szCs w:val="28"/>
        </w:rPr>
        <w:t>, как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улучшение условий проживания и быта медицинских специалистов, выплата подъемных. 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center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Социальные меры по привлечению медицинских кадров</w:t>
      </w:r>
      <w:r w:rsidR="00C50E29"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на территории: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Органы местного самоуправления</w:t>
      </w:r>
      <w:r w:rsidR="00C50E29" w:rsidRPr="002A2D4A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Горо</w:t>
      </w:r>
      <w:proofErr w:type="gramStart"/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proofErr w:type="gramEnd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Предоставление служебного жилого помещения; Выплата компенсации стоимости аренды жилого помещения врачам; Единовременная выплата врачам 200 тыс.руб(подъемные).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Райо</w:t>
      </w:r>
      <w:proofErr w:type="gramStart"/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proofErr w:type="gramEnd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единовременная выплата врачам 100 тыс. руб. и фельдшерам 50 тыс. руб. 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Медицинская организация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-Доплата к стипендии ежемесячно 500 руб., оплата проезда  на практику и обратно. </w:t>
      </w:r>
    </w:p>
    <w:p w:rsidR="00C53A42" w:rsidRPr="002A2D4A" w:rsidRDefault="00C53A42" w:rsidP="00C50E29">
      <w:pPr>
        <w:pStyle w:val="a3"/>
        <w:spacing w:before="86" w:beforeAutospacing="0" w:after="0" w:afterAutospacing="0"/>
        <w:jc w:val="both"/>
        <w:textAlignment w:val="top"/>
        <w:rPr>
          <w:rFonts w:eastAsiaTheme="minorEastAsia"/>
          <w:color w:val="000000" w:themeColor="text1"/>
          <w:kern w:val="24"/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-Оплата интернатуры (ординатуры)  и  оплата проезда к месту работы.</w:t>
      </w:r>
    </w:p>
    <w:p w:rsidR="00EF1589" w:rsidRPr="002A2D4A" w:rsidRDefault="00C50E29" w:rsidP="00C50E29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sz w:val="28"/>
          <w:szCs w:val="28"/>
        </w:rPr>
        <w:t xml:space="preserve">В настоящее время в Тулунском районе </w:t>
      </w:r>
      <w:r w:rsidR="002E2107" w:rsidRPr="002A2D4A">
        <w:rPr>
          <w:sz w:val="28"/>
          <w:szCs w:val="28"/>
        </w:rPr>
        <w:t xml:space="preserve">не все фельдшерско-акушерские пункты  обеспечены медицинскими работниками.  Решается  путем выездов специалистов участковых больниц, привлечением внутренних совместителей.  Согласно утвержденному плану работы мобильных бригад осуществляются выезда узких специалистов  терапевтического и педиатрического профилей с привлечением медицинских работников участковых больниц.  Прием терапевта сельского приема  ежедневно </w:t>
      </w:r>
      <w:r w:rsidR="0021175A" w:rsidRPr="002A2D4A">
        <w:rPr>
          <w:sz w:val="28"/>
          <w:szCs w:val="28"/>
        </w:rPr>
        <w:t>в поликлинике больничного комплекса.</w:t>
      </w:r>
    </w:p>
    <w:p w:rsidR="0021175A" w:rsidRPr="002A2D4A" w:rsidRDefault="00EF1589" w:rsidP="007E3840">
      <w:pPr>
        <w:pStyle w:val="a3"/>
        <w:spacing w:before="86" w:beforeAutospacing="0" w:after="0" w:afterAutospacing="0"/>
        <w:jc w:val="both"/>
        <w:textAlignment w:val="top"/>
        <w:rPr>
          <w:sz w:val="28"/>
          <w:szCs w:val="28"/>
        </w:rPr>
      </w:pPr>
      <w:r w:rsidRPr="002A2D4A">
        <w:rPr>
          <w:sz w:val="28"/>
          <w:szCs w:val="28"/>
        </w:rPr>
        <w:t xml:space="preserve"> За период с 2013 по 2015г  на работу </w:t>
      </w:r>
      <w:proofErr w:type="spellStart"/>
      <w:r w:rsidRPr="002A2D4A">
        <w:rPr>
          <w:sz w:val="28"/>
          <w:szCs w:val="28"/>
        </w:rPr>
        <w:t>ссистеме</w:t>
      </w:r>
      <w:proofErr w:type="spellEnd"/>
      <w:r w:rsidRPr="002A2D4A">
        <w:rPr>
          <w:sz w:val="28"/>
          <w:szCs w:val="28"/>
        </w:rPr>
        <w:t xml:space="preserve">  здравоохранени</w:t>
      </w:r>
      <w:r w:rsidR="00C67059" w:rsidRPr="002A2D4A">
        <w:rPr>
          <w:sz w:val="28"/>
          <w:szCs w:val="28"/>
        </w:rPr>
        <w:t>я  Тулунского  района принято  8</w:t>
      </w:r>
      <w:r w:rsidRPr="002A2D4A">
        <w:rPr>
          <w:sz w:val="28"/>
          <w:szCs w:val="28"/>
        </w:rPr>
        <w:t xml:space="preserve"> молодых специалистов с высшим медицинским образованием  разных специальностей, из них </w:t>
      </w:r>
      <w:r w:rsidR="00C67059" w:rsidRPr="002A2D4A">
        <w:rPr>
          <w:sz w:val="28"/>
          <w:szCs w:val="28"/>
        </w:rPr>
        <w:t>по программе «Земский Доктор» -7</w:t>
      </w:r>
      <w:r w:rsidRPr="002A2D4A">
        <w:rPr>
          <w:sz w:val="28"/>
          <w:szCs w:val="28"/>
        </w:rPr>
        <w:t>, и  6 специалистов  со средним медицинским образованием  на фельдшерско-акушерские пункты и участковы</w:t>
      </w:r>
      <w:r w:rsidR="00C67059" w:rsidRPr="002A2D4A">
        <w:rPr>
          <w:sz w:val="28"/>
          <w:szCs w:val="28"/>
        </w:rPr>
        <w:t xml:space="preserve">е больницы.  Специалисты, принятые по программе «Земский Доктор», фельдшера  </w:t>
      </w:r>
      <w:r w:rsidRPr="002A2D4A">
        <w:rPr>
          <w:sz w:val="28"/>
          <w:szCs w:val="28"/>
        </w:rPr>
        <w:t xml:space="preserve"> получили подъемные, предусмотренные  Муниципальной программой  Тулунского района.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2015 год  жители г. Тулуна и Тулунского района, являющиеся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льготополучателями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 xml:space="preserve">, обеспечены бесплатно лекарственными препаратами за счёт средств областного и федерального бюджета на общую сумму 34033,068 тыс.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>.  80% - средства федерального бюджета и 20% - средства областного бюджета.</w:t>
      </w:r>
      <w:r w:rsidRPr="002A2D4A">
        <w:rPr>
          <w:rFonts w:ascii="Times New Roman" w:hAnsi="Times New Roman" w:cs="Times New Roman"/>
          <w:sz w:val="28"/>
          <w:szCs w:val="28"/>
        </w:rPr>
        <w:tab/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Работа </w:t>
      </w:r>
      <w:proofErr w:type="spellStart"/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>санавиации</w:t>
      </w:r>
      <w:proofErr w:type="spellEnd"/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center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2013г. 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Количество вылетов-20; число </w:t>
      </w:r>
      <w:proofErr w:type="gramStart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эвакуированных</w:t>
      </w:r>
      <w:proofErr w:type="gramEnd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пациентов-18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center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2014г. -                                25;                                                        23;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center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2015г.-                                 28;                                                        28</w:t>
      </w:r>
    </w:p>
    <w:p w:rsidR="00C53A42" w:rsidRPr="002A2D4A" w:rsidRDefault="00C53A42" w:rsidP="00EE7294">
      <w:pPr>
        <w:pStyle w:val="a3"/>
        <w:spacing w:before="86" w:beforeAutospacing="0" w:after="0" w:afterAutospacing="0"/>
        <w:jc w:val="both"/>
        <w:textAlignment w:val="center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Прирост/убыль, %           12,                                                         8,7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 xml:space="preserve">В 2015 году </w:t>
      </w:r>
      <w:r w:rsidRPr="002A2D4A">
        <w:rPr>
          <w:rFonts w:eastAsia="+mn-ea"/>
          <w:b/>
          <w:color w:val="000000"/>
          <w:kern w:val="24"/>
          <w:sz w:val="28"/>
          <w:szCs w:val="28"/>
        </w:rPr>
        <w:t>финансирование  здравоохранения</w:t>
      </w:r>
      <w:r w:rsidRPr="002A2D4A">
        <w:rPr>
          <w:rFonts w:eastAsia="+mn-ea"/>
          <w:color w:val="000000"/>
          <w:kern w:val="24"/>
          <w:sz w:val="28"/>
          <w:szCs w:val="28"/>
        </w:rPr>
        <w:t xml:space="preserve"> осуществлялось из бюджетов всех уровней, средств обязательного медицинского страхования, доходов от предпринимательской и иной приносящей доход деятельности</w:t>
      </w:r>
    </w:p>
    <w:p w:rsidR="00C53A42" w:rsidRPr="002A2D4A" w:rsidRDefault="00C53A42" w:rsidP="00EE7294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ab/>
        <w:t>В 2015 году расходы на здравоохранение составили 492498,1т</w:t>
      </w:r>
      <w:proofErr w:type="gramStart"/>
      <w:r w:rsidRPr="002A2D4A">
        <w:rPr>
          <w:rFonts w:eastAsia="+mn-ea"/>
          <w:color w:val="000000"/>
          <w:kern w:val="24"/>
          <w:sz w:val="28"/>
          <w:szCs w:val="28"/>
        </w:rPr>
        <w:t>.р</w:t>
      </w:r>
      <w:proofErr w:type="gramEnd"/>
      <w:r w:rsidRPr="002A2D4A">
        <w:rPr>
          <w:rFonts w:eastAsia="+mn-ea"/>
          <w:color w:val="000000"/>
          <w:kern w:val="24"/>
          <w:sz w:val="28"/>
          <w:szCs w:val="28"/>
        </w:rPr>
        <w:t xml:space="preserve">уб. Таким образом, с 2014 года прирост составил 18,1%. </w:t>
      </w:r>
    </w:p>
    <w:p w:rsidR="00C53A42" w:rsidRPr="002A2D4A" w:rsidRDefault="00C53A42" w:rsidP="0021175A">
      <w:pPr>
        <w:pStyle w:val="a3"/>
        <w:spacing w:before="115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A2D4A">
        <w:rPr>
          <w:rFonts w:eastAsia="+mn-ea"/>
          <w:color w:val="000000"/>
          <w:kern w:val="24"/>
          <w:sz w:val="28"/>
          <w:szCs w:val="28"/>
        </w:rPr>
        <w:t xml:space="preserve">                   Необходимо  рационально  подходить к расходам </w:t>
      </w:r>
      <w:proofErr w:type="gramStart"/>
      <w:r w:rsidRPr="002A2D4A">
        <w:rPr>
          <w:rFonts w:eastAsia="+mn-ea"/>
          <w:color w:val="000000"/>
          <w:kern w:val="24"/>
          <w:sz w:val="28"/>
          <w:szCs w:val="28"/>
        </w:rPr>
        <w:t>медицинской</w:t>
      </w:r>
      <w:proofErr w:type="gramEnd"/>
      <w:r w:rsidRPr="002A2D4A">
        <w:rPr>
          <w:rFonts w:eastAsia="+mn-ea"/>
          <w:color w:val="000000"/>
          <w:kern w:val="24"/>
          <w:sz w:val="28"/>
          <w:szCs w:val="28"/>
        </w:rPr>
        <w:t xml:space="preserve"> организации и не допускать отток денежных средств в виде нецелевого использования и штрафных санкций.</w:t>
      </w:r>
    </w:p>
    <w:p w:rsidR="0021175A" w:rsidRPr="002A2D4A" w:rsidRDefault="0021175A" w:rsidP="0021175A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Все вышеперечисленные составляющие: работа медицинских организаций (коечный фонд, кадровый потенциал, выполнение объемов ТПГГ), финансирование здравоохранения можно оценить в виде достижения индикативных показателей.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  <w:t>Важнейшей целью государственной политики в области здравоохранения на современном этапе является улучшение демографической ситуации, состояния здоровья населения, обеспечение доступности и качества медицинской помощи для граждан Российской Федерации</w:t>
      </w:r>
      <w:r w:rsidR="0021175A" w:rsidRPr="002A2D4A">
        <w:rPr>
          <w:rFonts w:ascii="Times New Roman" w:hAnsi="Times New Roman" w:cs="Times New Roman"/>
          <w:sz w:val="28"/>
          <w:szCs w:val="28"/>
        </w:rPr>
        <w:t>.</w:t>
      </w:r>
      <w:r w:rsidRPr="002A2D4A">
        <w:rPr>
          <w:rFonts w:ascii="Times New Roman" w:hAnsi="Times New Roman" w:cs="Times New Roman"/>
          <w:sz w:val="28"/>
          <w:szCs w:val="28"/>
        </w:rPr>
        <w:tab/>
      </w:r>
    </w:p>
    <w:p w:rsidR="00BE58BF" w:rsidRPr="002A2D4A" w:rsidRDefault="00C53A42" w:rsidP="00EE7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</w:r>
      <w:r w:rsidR="00BE58BF" w:rsidRPr="002A2D4A">
        <w:rPr>
          <w:rFonts w:ascii="Times New Roman" w:hAnsi="Times New Roman" w:cs="Times New Roman"/>
          <w:b/>
          <w:sz w:val="28"/>
          <w:szCs w:val="28"/>
        </w:rPr>
        <w:t>Анализ смертности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За 12 месяцев 2015 года в г. Тулуне и Тулунском районе  умерло 982 человека,  за 2014 год  981 человек. Коэффициент общей  смертности составил 14,4 на 1 тыс. населения.  Среднеобластной показатель -13,7.  В 2013 году показатель общей смертности  составил -14,1;  в 2014 году-14,29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  <w:t xml:space="preserve">По сравнению с 2014 годом  показатель смертности снизился по следующим причинам смертности: </w:t>
      </w:r>
    </w:p>
    <w:p w:rsidR="00A3201E" w:rsidRPr="002A2D4A" w:rsidRDefault="007900BB" w:rsidP="00EE72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lastRenderedPageBreak/>
        <w:t>от болезней системы кровообращения на 21,7% (с 7,41 до  5,8 на 1 тыс. населения);</w:t>
      </w:r>
    </w:p>
    <w:p w:rsidR="00A3201E" w:rsidRPr="002A2D4A" w:rsidRDefault="007900BB" w:rsidP="00EE72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от болезней органов дыхания с 0,67 на 1 тыс. населения в 2014 г. до 0,40  в 2015г., в том числе от пневмонии с  0,52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2014г. До 0,26 в 2015г.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  Возросла смертность 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 -от болезней органов пищеварения с 0,63 в 2013г. до 1,10 в 2015г.  Рост смертности  по этой группе заболеваний в основном за счет циррозов печени.</w:t>
      </w:r>
    </w:p>
    <w:p w:rsidR="00C53A42" w:rsidRPr="002A2D4A" w:rsidRDefault="00C53A42" w:rsidP="00211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-  от отравлений –  рост показателя общей смертности с 0,24 до 0,30 на 1 тыс.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.</w:t>
      </w:r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proofErr w:type="gramEnd"/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есмотря</w:t>
      </w:r>
      <w:proofErr w:type="spellEnd"/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предпринимаемые меры по снижению смертности,  сохраняется прежняя структура смертности. Лидирующие позиции по-прежнему занимают болезни системы кровообращения, от которых в 2015 году умерло 394  человека (40,1% от общего числа </w:t>
      </w:r>
      <w:proofErr w:type="gramStart"/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умерших</w:t>
      </w:r>
      <w:proofErr w:type="gramEnd"/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). На втором месте - новообразования, доля умерших от которых составила 14,2%. Внешние причины, травмы и отравления явились причиной смерти в 14,2% случаев.  </w:t>
      </w:r>
    </w:p>
    <w:p w:rsidR="00C53A42" w:rsidRPr="002A2D4A" w:rsidRDefault="00C53A42" w:rsidP="007E3840">
      <w:p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>Потери населения по этим трем классам составляют  68,6% всех случаев, что повторяет структуру причин смертности по Иркутской области, по Российской Федерации в целом.</w:t>
      </w:r>
    </w:p>
    <w:p w:rsidR="007E3840" w:rsidRPr="002A2D4A" w:rsidRDefault="007E3840" w:rsidP="007E3840">
      <w:p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Показатель смертности от болезней системы кровообращения в 2015 году снизился на 22,6% по сравнению с 2014 годом,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тем не менее остается еще высоким. В структуре смертности от болезней системы кровообращения – 65,5 % приходится на цереброваскулярные и ишемические болезни сердца. На третьем месте в структуре смертности от болезней органов кровообращения  кардиомиопатии-18,8%.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  <w:t xml:space="preserve">Анализ смертности от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патологии показывает, что наиболее высокие показатели в группе пациентов старше трудоспособного возраста, учитывая, что основной предпосылкой к смертности являются болезни, характерные для старшей возрастной группы населения: атеросклеротическая болезнь, артериальная гипертония,  ишемическая болезнь сердца, включая инфаркты миокарда, и цереброваскулярная патология, в том числе инсульты. 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</w:r>
      <w:r w:rsidR="0021175A" w:rsidRPr="002A2D4A">
        <w:rPr>
          <w:rFonts w:ascii="Times New Roman" w:hAnsi="Times New Roman" w:cs="Times New Roman"/>
          <w:sz w:val="28"/>
          <w:szCs w:val="28"/>
        </w:rPr>
        <w:t xml:space="preserve">С целью снижения смертности от инфаркта миокарда на </w:t>
      </w:r>
      <w:proofErr w:type="spellStart"/>
      <w:r w:rsidR="0021175A" w:rsidRPr="002A2D4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21175A" w:rsidRPr="002A2D4A">
        <w:rPr>
          <w:rFonts w:ascii="Times New Roman" w:hAnsi="Times New Roman" w:cs="Times New Roman"/>
          <w:sz w:val="28"/>
          <w:szCs w:val="28"/>
        </w:rPr>
        <w:t xml:space="preserve"> этапе по показаниям проводится </w:t>
      </w:r>
      <w:proofErr w:type="spellStart"/>
      <w:r w:rsidR="0021175A" w:rsidRPr="002A2D4A">
        <w:rPr>
          <w:rFonts w:ascii="Times New Roman" w:hAnsi="Times New Roman" w:cs="Times New Roman"/>
          <w:b/>
          <w:bCs/>
          <w:sz w:val="28"/>
          <w:szCs w:val="28"/>
        </w:rPr>
        <w:t>троболизис</w:t>
      </w:r>
      <w:proofErr w:type="spellEnd"/>
      <w:r w:rsidR="0021175A" w:rsidRPr="002A2D4A">
        <w:rPr>
          <w:rFonts w:ascii="Times New Roman" w:hAnsi="Times New Roman" w:cs="Times New Roman"/>
          <w:b/>
          <w:bCs/>
          <w:sz w:val="28"/>
          <w:szCs w:val="28"/>
        </w:rPr>
        <w:t xml:space="preserve"> пациентам с острым коронарным синдромом.</w:t>
      </w:r>
      <w:r w:rsidRPr="002A2D4A">
        <w:rPr>
          <w:rFonts w:ascii="Times New Roman" w:hAnsi="Times New Roman" w:cs="Times New Roman"/>
          <w:sz w:val="28"/>
          <w:szCs w:val="28"/>
        </w:rPr>
        <w:tab/>
      </w:r>
      <w:r w:rsidR="00332E31" w:rsidRPr="002A2D4A">
        <w:rPr>
          <w:rFonts w:ascii="Times New Roman" w:hAnsi="Times New Roman" w:cs="Times New Roman"/>
          <w:sz w:val="28"/>
          <w:szCs w:val="28"/>
        </w:rPr>
        <w:t xml:space="preserve">В 2015 году на этапе скорой медицинской помощи проведена </w:t>
      </w:r>
      <w:proofErr w:type="spellStart"/>
      <w:r w:rsidR="00332E31" w:rsidRPr="002A2D4A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332E31" w:rsidRPr="002A2D4A">
        <w:rPr>
          <w:rFonts w:ascii="Times New Roman" w:hAnsi="Times New Roman" w:cs="Times New Roman"/>
          <w:sz w:val="28"/>
          <w:szCs w:val="28"/>
        </w:rPr>
        <w:t xml:space="preserve"> терапия 10 пациентам. В терапевтическом отделении в</w:t>
      </w:r>
      <w:r w:rsidR="0021175A" w:rsidRPr="002A2D4A">
        <w:rPr>
          <w:rFonts w:ascii="Times New Roman" w:hAnsi="Times New Roman" w:cs="Times New Roman"/>
          <w:sz w:val="28"/>
          <w:szCs w:val="28"/>
        </w:rPr>
        <w:t xml:space="preserve"> 2015 году доля пациентов с ОКС с подъемом </w:t>
      </w:r>
      <w:r w:rsidR="0021175A" w:rsidRPr="002A2D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21175A" w:rsidRPr="002A2D4A">
        <w:rPr>
          <w:rFonts w:ascii="Times New Roman" w:hAnsi="Times New Roman" w:cs="Times New Roman"/>
          <w:sz w:val="28"/>
          <w:szCs w:val="28"/>
        </w:rPr>
        <w:t xml:space="preserve">, которым </w:t>
      </w:r>
      <w:proofErr w:type="spellStart"/>
      <w:r w:rsidR="0021175A" w:rsidRPr="002A2D4A">
        <w:rPr>
          <w:rFonts w:ascii="Times New Roman" w:hAnsi="Times New Roman" w:cs="Times New Roman"/>
          <w:sz w:val="28"/>
          <w:szCs w:val="28"/>
        </w:rPr>
        <w:t>проведентромболизис</w:t>
      </w:r>
      <w:proofErr w:type="spellEnd"/>
      <w:r w:rsidR="0021175A" w:rsidRPr="002A2D4A">
        <w:rPr>
          <w:rFonts w:ascii="Times New Roman" w:hAnsi="Times New Roman" w:cs="Times New Roman"/>
          <w:sz w:val="28"/>
          <w:szCs w:val="28"/>
        </w:rPr>
        <w:t xml:space="preserve">, </w:t>
      </w:r>
      <w:r w:rsidR="0021175A" w:rsidRPr="002A2D4A"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</w:t>
      </w:r>
      <w:r w:rsidR="00332E31" w:rsidRPr="002A2D4A">
        <w:rPr>
          <w:rFonts w:ascii="Times New Roman" w:hAnsi="Times New Roman" w:cs="Times New Roman"/>
          <w:sz w:val="28"/>
          <w:szCs w:val="28"/>
        </w:rPr>
        <w:t xml:space="preserve">44,6%. В 25% случаев ТЛТ не проведена по причине позднего обращения за медицинской помощью (позднее 12 часов после развития болевого синдрома), в 12,5% случаев ТЛТ не проведена ввиду  медицинских противопоказаний. Анализ времени поступления пациентов в терапевтическое отделение при инфаркте миокарда показал, что до суток поступило 58,9% пациентов, после суток-6,5%; в течение 2-5 суток-24,3%; </w:t>
      </w:r>
      <w:r w:rsidR="00BE58BF" w:rsidRPr="002A2D4A">
        <w:rPr>
          <w:rFonts w:ascii="Times New Roman" w:hAnsi="Times New Roman" w:cs="Times New Roman"/>
          <w:sz w:val="28"/>
          <w:szCs w:val="28"/>
        </w:rPr>
        <w:t xml:space="preserve">после 5 суток-10,3% пациентов. </w:t>
      </w:r>
      <w:r w:rsidR="001764F3" w:rsidRPr="002A2D4A">
        <w:rPr>
          <w:rFonts w:ascii="Times New Roman" w:hAnsi="Times New Roman" w:cs="Times New Roman"/>
          <w:sz w:val="28"/>
          <w:szCs w:val="28"/>
        </w:rPr>
        <w:t xml:space="preserve">Из всех поступивших в терапевтическое отделение с инфарктом миокарда -85,7% умерло в первые сутки. Это пациенты с тяжелыми сопутствующими заболеваниями, тяжелыми структурными поражениями сосудистого русла, пациенты, которые на </w:t>
      </w:r>
      <w:proofErr w:type="spellStart"/>
      <w:r w:rsidR="001764F3" w:rsidRPr="002A2D4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1764F3" w:rsidRPr="002A2D4A">
        <w:rPr>
          <w:rFonts w:ascii="Times New Roman" w:hAnsi="Times New Roman" w:cs="Times New Roman"/>
          <w:sz w:val="28"/>
          <w:szCs w:val="28"/>
        </w:rPr>
        <w:t xml:space="preserve"> этапе не контролировали АД, ЧСС, уровень холестерина, гликемии, не модифицирующие образ жизни, поздно обратившиеся  за медицинской </w:t>
      </w:r>
      <w:proofErr w:type="spellStart"/>
      <w:r w:rsidR="001764F3" w:rsidRPr="002A2D4A">
        <w:rPr>
          <w:rFonts w:ascii="Times New Roman" w:hAnsi="Times New Roman" w:cs="Times New Roman"/>
          <w:sz w:val="28"/>
          <w:szCs w:val="28"/>
        </w:rPr>
        <w:t>помощью</w:t>
      </w:r>
      <w:proofErr w:type="gramStart"/>
      <w:r w:rsidR="001764F3" w:rsidRPr="002A2D4A">
        <w:rPr>
          <w:rFonts w:ascii="Times New Roman" w:hAnsi="Times New Roman" w:cs="Times New Roman"/>
          <w:sz w:val="28"/>
          <w:szCs w:val="28"/>
        </w:rPr>
        <w:t>.</w:t>
      </w:r>
      <w:r w:rsidR="00BE58BF" w:rsidRPr="002A2D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58BF" w:rsidRPr="002A2D4A">
        <w:rPr>
          <w:rFonts w:ascii="Times New Roman" w:hAnsi="Times New Roman" w:cs="Times New Roman"/>
          <w:sz w:val="28"/>
          <w:szCs w:val="28"/>
        </w:rPr>
        <w:t>езерв</w:t>
      </w:r>
      <w:proofErr w:type="spellEnd"/>
      <w:r w:rsidR="00BE58BF" w:rsidRPr="002A2D4A">
        <w:rPr>
          <w:rFonts w:ascii="Times New Roman" w:hAnsi="Times New Roman" w:cs="Times New Roman"/>
          <w:sz w:val="28"/>
          <w:szCs w:val="28"/>
        </w:rPr>
        <w:t xml:space="preserve">  снижения смертности от ССЗ  состоит в повышении информированности населения о симптомах инсульта, инфаркта, необходимости скорейшего о</w:t>
      </w:r>
      <w:r w:rsidR="001764F3" w:rsidRPr="002A2D4A">
        <w:rPr>
          <w:rFonts w:ascii="Times New Roman" w:hAnsi="Times New Roman" w:cs="Times New Roman"/>
          <w:sz w:val="28"/>
          <w:szCs w:val="28"/>
        </w:rPr>
        <w:t>бращения за медицинской помощью; в повышении мотивации к поддержанию целевых уровней  основных клинико-биохимических показателей,  модификации образа жизни.</w:t>
      </w:r>
    </w:p>
    <w:p w:rsidR="00221184" w:rsidRPr="002A2D4A" w:rsidRDefault="00221184" w:rsidP="00C53A42">
      <w:pPr>
        <w:rPr>
          <w:rFonts w:ascii="Times New Roman" w:hAnsi="Times New Roman" w:cs="Times New Roman"/>
          <w:b/>
          <w:sz w:val="28"/>
          <w:szCs w:val="28"/>
        </w:rPr>
      </w:pPr>
      <w:r w:rsidRPr="002A2D4A">
        <w:rPr>
          <w:rFonts w:ascii="Times New Roman" w:hAnsi="Times New Roman" w:cs="Times New Roman"/>
          <w:b/>
          <w:sz w:val="28"/>
          <w:szCs w:val="28"/>
        </w:rPr>
        <w:t>Онкология</w:t>
      </w:r>
    </w:p>
    <w:p w:rsidR="00C53A42" w:rsidRPr="002A2D4A" w:rsidRDefault="00FD245F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В динамике с 2013г. по  </w:t>
      </w:r>
      <w:r w:rsidR="00C53A42" w:rsidRPr="002A2D4A">
        <w:rPr>
          <w:rFonts w:ascii="Times New Roman" w:hAnsi="Times New Roman" w:cs="Times New Roman"/>
          <w:sz w:val="28"/>
          <w:szCs w:val="28"/>
        </w:rPr>
        <w:t>2015 год наблюдается рост смертности от онкологических заболеваний. Показате</w:t>
      </w:r>
      <w:r w:rsidR="00221184" w:rsidRPr="002A2D4A">
        <w:rPr>
          <w:rFonts w:ascii="Times New Roman" w:hAnsi="Times New Roman" w:cs="Times New Roman"/>
          <w:sz w:val="28"/>
          <w:szCs w:val="28"/>
        </w:rPr>
        <w:t>ль общей смертности от ЗНО  с</w:t>
      </w:r>
      <w:r w:rsidRPr="002A2D4A">
        <w:rPr>
          <w:rFonts w:ascii="Times New Roman" w:hAnsi="Times New Roman" w:cs="Times New Roman"/>
          <w:sz w:val="28"/>
          <w:szCs w:val="28"/>
        </w:rPr>
        <w:t>о</w:t>
      </w:r>
      <w:r w:rsidR="00221184" w:rsidRPr="002A2D4A">
        <w:rPr>
          <w:rFonts w:ascii="Times New Roman" w:hAnsi="Times New Roman" w:cs="Times New Roman"/>
          <w:sz w:val="28"/>
          <w:szCs w:val="28"/>
        </w:rPr>
        <w:t xml:space="preserve"> 1</w:t>
      </w:r>
      <w:r w:rsidRPr="002A2D4A">
        <w:rPr>
          <w:rFonts w:ascii="Times New Roman" w:hAnsi="Times New Roman" w:cs="Times New Roman"/>
          <w:sz w:val="28"/>
          <w:szCs w:val="28"/>
        </w:rPr>
        <w:t>73,9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 на 1</w:t>
      </w:r>
      <w:r w:rsidR="00221184" w:rsidRPr="002A2D4A">
        <w:rPr>
          <w:rFonts w:ascii="Times New Roman" w:hAnsi="Times New Roman" w:cs="Times New Roman"/>
          <w:sz w:val="28"/>
          <w:szCs w:val="28"/>
        </w:rPr>
        <w:t>00 000</w:t>
      </w:r>
      <w:r w:rsidR="00C53A42" w:rsidRPr="002A2D4A">
        <w:rPr>
          <w:rFonts w:ascii="Times New Roman" w:hAnsi="Times New Roman" w:cs="Times New Roman"/>
          <w:sz w:val="28"/>
          <w:szCs w:val="28"/>
        </w:rPr>
        <w:t>тыс. насе</w:t>
      </w:r>
      <w:r w:rsidRPr="002A2D4A">
        <w:rPr>
          <w:rFonts w:ascii="Times New Roman" w:hAnsi="Times New Roman" w:cs="Times New Roman"/>
          <w:sz w:val="28"/>
          <w:szCs w:val="28"/>
        </w:rPr>
        <w:t>ления в 2013</w:t>
      </w:r>
      <w:r w:rsidR="00221184" w:rsidRPr="002A2D4A">
        <w:rPr>
          <w:rFonts w:ascii="Times New Roman" w:hAnsi="Times New Roman" w:cs="Times New Roman"/>
          <w:sz w:val="28"/>
          <w:szCs w:val="28"/>
        </w:rPr>
        <w:t>г. увеличился  до 2</w:t>
      </w:r>
      <w:r w:rsidR="00C53A42" w:rsidRPr="002A2D4A">
        <w:rPr>
          <w:rFonts w:ascii="Times New Roman" w:hAnsi="Times New Roman" w:cs="Times New Roman"/>
          <w:sz w:val="28"/>
          <w:szCs w:val="28"/>
        </w:rPr>
        <w:t>0</w:t>
      </w:r>
      <w:r w:rsidR="00221184" w:rsidRPr="002A2D4A">
        <w:rPr>
          <w:rFonts w:ascii="Times New Roman" w:hAnsi="Times New Roman" w:cs="Times New Roman"/>
          <w:sz w:val="28"/>
          <w:szCs w:val="28"/>
        </w:rPr>
        <w:t>5,</w:t>
      </w:r>
      <w:r w:rsidR="00C53A42" w:rsidRPr="002A2D4A">
        <w:rPr>
          <w:rFonts w:ascii="Times New Roman" w:hAnsi="Times New Roman" w:cs="Times New Roman"/>
          <w:sz w:val="28"/>
          <w:szCs w:val="28"/>
        </w:rPr>
        <w:t>6 в 2015году.  Доля ЗНО, выявленных впервые на ранних стадиях составила 37,0%. Доля умерших в трудоспособном возрасте больных ЗНО, состоявших на учете, от общего числа умерших в трудоспособном возрасте -90,3%.</w:t>
      </w:r>
      <w:r w:rsidRPr="002A2D4A">
        <w:rPr>
          <w:rFonts w:ascii="Times New Roman" w:hAnsi="Times New Roman" w:cs="Times New Roman"/>
          <w:sz w:val="28"/>
          <w:szCs w:val="28"/>
        </w:rPr>
        <w:t xml:space="preserve"> Из всех случаев, выявленных в 2015 году -</w:t>
      </w:r>
      <w:r w:rsidRPr="002A2D4A">
        <w:rPr>
          <w:rFonts w:ascii="Times New Roman" w:hAnsi="Times New Roman" w:cs="Times New Roman"/>
          <w:b/>
          <w:sz w:val="28"/>
          <w:szCs w:val="28"/>
        </w:rPr>
        <w:t>40,5%</w:t>
      </w:r>
      <w:r w:rsidRPr="002A2D4A">
        <w:rPr>
          <w:rFonts w:ascii="Times New Roman" w:hAnsi="Times New Roman" w:cs="Times New Roman"/>
          <w:sz w:val="28"/>
          <w:szCs w:val="28"/>
        </w:rPr>
        <w:t xml:space="preserve"> выявлены в поздних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стадиях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.</w:t>
      </w:r>
      <w:r w:rsidRPr="002A2D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2D4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2A2D4A">
        <w:rPr>
          <w:rFonts w:ascii="Times New Roman" w:hAnsi="Times New Roman" w:cs="Times New Roman"/>
          <w:b/>
          <w:sz w:val="28"/>
          <w:szCs w:val="28"/>
        </w:rPr>
        <w:t xml:space="preserve"> Тулунскому району в 2015 году</w:t>
      </w:r>
      <w:r w:rsidRPr="002A2D4A">
        <w:rPr>
          <w:rFonts w:ascii="Times New Roman" w:hAnsi="Times New Roman" w:cs="Times New Roman"/>
          <w:sz w:val="28"/>
          <w:szCs w:val="28"/>
        </w:rPr>
        <w:t xml:space="preserve"> вновь выявлено 92 человека.</w:t>
      </w:r>
      <w:r w:rsidR="00CD272D" w:rsidRPr="002A2D4A">
        <w:rPr>
          <w:rFonts w:ascii="Times New Roman" w:hAnsi="Times New Roman" w:cs="Times New Roman"/>
          <w:sz w:val="28"/>
          <w:szCs w:val="28"/>
        </w:rPr>
        <w:t xml:space="preserve"> Показатель заболеваемости на 100 000 трудоспособного населения -349,9. Общая запущенность 44,5%. Всего состоит по поводу онкологических заболеваний на конец 2015 года -383 человека. </w:t>
      </w:r>
      <w:r w:rsidR="00BE58BF" w:rsidRPr="002A2D4A">
        <w:rPr>
          <w:rFonts w:ascii="Times New Roman" w:hAnsi="Times New Roman" w:cs="Times New Roman"/>
          <w:sz w:val="28"/>
          <w:szCs w:val="28"/>
        </w:rPr>
        <w:t>«</w:t>
      </w:r>
      <w:r w:rsidR="00CD272D" w:rsidRPr="002A2D4A">
        <w:rPr>
          <w:rFonts w:ascii="Times New Roman" w:hAnsi="Times New Roman" w:cs="Times New Roman"/>
          <w:sz w:val="28"/>
          <w:szCs w:val="28"/>
        </w:rPr>
        <w:t>Запущенность</w:t>
      </w:r>
      <w:r w:rsidR="00BE58BF" w:rsidRPr="002A2D4A">
        <w:rPr>
          <w:rFonts w:ascii="Times New Roman" w:hAnsi="Times New Roman" w:cs="Times New Roman"/>
          <w:sz w:val="28"/>
          <w:szCs w:val="28"/>
        </w:rPr>
        <w:t>»</w:t>
      </w:r>
      <w:r w:rsidR="00CD272D" w:rsidRPr="002A2D4A">
        <w:rPr>
          <w:rFonts w:ascii="Times New Roman" w:hAnsi="Times New Roman" w:cs="Times New Roman"/>
          <w:sz w:val="28"/>
          <w:szCs w:val="28"/>
        </w:rPr>
        <w:t xml:space="preserve"> визуальных форм-20,6%.Показатель смертности от ЗНО на 100 000 населения в 2015 году-209,1.Выявлено </w:t>
      </w:r>
      <w:proofErr w:type="gramStart"/>
      <w:r w:rsidR="00CD272D" w:rsidRPr="002A2D4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D272D" w:rsidRPr="002A2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72D" w:rsidRPr="002A2D4A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="00CD272D" w:rsidRPr="002A2D4A">
        <w:rPr>
          <w:rFonts w:ascii="Times New Roman" w:hAnsi="Times New Roman" w:cs="Times New Roman"/>
          <w:sz w:val="28"/>
          <w:szCs w:val="28"/>
        </w:rPr>
        <w:t xml:space="preserve"> осмотрах-20,6%.  Благодаря современным методам лечения пятилетняя выживаемость увеличилась со 154чел.  в 2012 году до 175 человек в 2015 году.</w:t>
      </w:r>
      <w:r w:rsidR="00EE7294" w:rsidRPr="002A2D4A">
        <w:rPr>
          <w:rFonts w:ascii="Times New Roman" w:hAnsi="Times New Roman" w:cs="Times New Roman"/>
          <w:sz w:val="28"/>
          <w:szCs w:val="28"/>
        </w:rPr>
        <w:t xml:space="preserve"> Посмертно выявлено 7 случаев ЗНО. Охват населения </w:t>
      </w:r>
      <w:proofErr w:type="spellStart"/>
      <w:r w:rsidR="00EE7294" w:rsidRPr="002A2D4A">
        <w:rPr>
          <w:rFonts w:ascii="Times New Roman" w:hAnsi="Times New Roman" w:cs="Times New Roman"/>
          <w:sz w:val="28"/>
          <w:szCs w:val="28"/>
        </w:rPr>
        <w:t>маммографическим</w:t>
      </w:r>
      <w:proofErr w:type="spellEnd"/>
      <w:r w:rsidR="00EE7294" w:rsidRPr="002A2D4A">
        <w:rPr>
          <w:rFonts w:ascii="Times New Roman" w:hAnsi="Times New Roman" w:cs="Times New Roman"/>
          <w:sz w:val="28"/>
          <w:szCs w:val="28"/>
        </w:rPr>
        <w:t xml:space="preserve"> скринингом-97,4%. Охват населения  </w:t>
      </w:r>
      <w:proofErr w:type="gramStart"/>
      <w:r w:rsidR="00EE7294" w:rsidRPr="002A2D4A">
        <w:rPr>
          <w:rFonts w:ascii="Times New Roman" w:hAnsi="Times New Roman" w:cs="Times New Roman"/>
          <w:sz w:val="28"/>
          <w:szCs w:val="28"/>
        </w:rPr>
        <w:t>цитологическим</w:t>
      </w:r>
      <w:proofErr w:type="gramEnd"/>
      <w:r w:rsidR="00EE7294" w:rsidRPr="002A2D4A">
        <w:rPr>
          <w:rFonts w:ascii="Times New Roman" w:hAnsi="Times New Roman" w:cs="Times New Roman"/>
          <w:sz w:val="28"/>
          <w:szCs w:val="28"/>
        </w:rPr>
        <w:t xml:space="preserve"> скринингом-93,2%. </w:t>
      </w:r>
      <w:r w:rsidR="00C53A42" w:rsidRPr="002A2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Второй этап диспансеризации определенных групп взрослого населения проводится с целью дополнительного обследования и уточнения диагноза заболевания, проведения углубленного профилактического консультирования. </w:t>
      </w:r>
    </w:p>
    <w:p w:rsidR="00C53A42" w:rsidRPr="002A2D4A" w:rsidRDefault="00C53A42" w:rsidP="00EE729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7294" w:rsidRPr="002A2D4A">
        <w:rPr>
          <w:rFonts w:ascii="Times New Roman" w:hAnsi="Times New Roman" w:cs="Times New Roman"/>
          <w:sz w:val="28"/>
          <w:szCs w:val="28"/>
        </w:rPr>
        <w:t xml:space="preserve">Процент прохождения  граждан </w:t>
      </w:r>
      <w:r w:rsidRPr="002A2D4A">
        <w:rPr>
          <w:rFonts w:ascii="Times New Roman" w:hAnsi="Times New Roman" w:cs="Times New Roman"/>
          <w:sz w:val="28"/>
          <w:szCs w:val="28"/>
        </w:rPr>
        <w:t xml:space="preserve"> второго этапа диспансеризации в 2015году составил 18,7%при нормативе не менее 20%</w:t>
      </w:r>
      <w:r w:rsidR="00EE7294" w:rsidRPr="002A2D4A">
        <w:rPr>
          <w:rFonts w:ascii="Times New Roman" w:hAnsi="Times New Roman" w:cs="Times New Roman"/>
          <w:sz w:val="28"/>
          <w:szCs w:val="28"/>
        </w:rPr>
        <w:t>.</w:t>
      </w:r>
    </w:p>
    <w:p w:rsidR="00EE7294" w:rsidRPr="002A2D4A" w:rsidRDefault="00EE7294" w:rsidP="00EE7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6B" w:rsidRPr="002A2D4A" w:rsidRDefault="0097136B" w:rsidP="00C53A4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ДТП</w:t>
      </w:r>
    </w:p>
    <w:p w:rsidR="00C53A42" w:rsidRPr="002A2D4A" w:rsidRDefault="0097136B" w:rsidP="00C53A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оказатель смертности  от </w:t>
      </w:r>
      <w:r w:rsidR="00C53A42" w:rsidRPr="002A2D4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дорожно-транспортных происшествий</w:t>
      </w:r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100 000 населения </w:t>
      </w: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 2015 году </w:t>
      </w:r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составил 8,8 (в </w:t>
      </w:r>
      <w:proofErr w:type="spellStart"/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абс</w:t>
      </w:r>
      <w:proofErr w:type="spellEnd"/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цифрах-6 человек). </w:t>
      </w:r>
    </w:p>
    <w:p w:rsidR="00C53A42" w:rsidRPr="002A2D4A" w:rsidRDefault="00C53A42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Причины смертности от ДТП   трудноуправляемые.</w:t>
      </w:r>
    </w:p>
    <w:p w:rsidR="00C53A42" w:rsidRPr="002A2D4A" w:rsidRDefault="00C53A42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Все 6 умерших в результате ДТП были в трудоспособными, из них мужчин 2, женщин-4.</w:t>
      </w:r>
      <w:proofErr w:type="gramEnd"/>
    </w:p>
    <w:p w:rsidR="00C53A42" w:rsidRPr="002A2D4A" w:rsidRDefault="00C53A42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Смерть 4  пострадавших от ДТП до приезда  бригад ОМСП, и  2 в стационаре  (от3-х до 7 суток).  </w:t>
      </w:r>
    </w:p>
    <w:p w:rsidR="00C53A42" w:rsidRPr="002A2D4A" w:rsidRDefault="0097136B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Отмечается в</w:t>
      </w:r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ысокий уровень  и качество оказания медицинской помощи в ОГБУЗ  «Тулунская городская больница» </w:t>
      </w:r>
      <w:proofErr w:type="gramStart"/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благодаря</w:t>
      </w:r>
      <w:proofErr w:type="gramEnd"/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C53A42" w:rsidRPr="002A2D4A" w:rsidRDefault="00C53A42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  имеющейся транспортной доступности </w:t>
      </w:r>
      <w:proofErr w:type="gramStart"/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</w:t>
      </w:r>
      <w:proofErr w:type="gramEnd"/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ремя </w:t>
      </w:r>
      <w:proofErr w:type="spellStart"/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доезда</w:t>
      </w:r>
      <w:proofErr w:type="spellEnd"/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бригад  ОСМП-20;</w:t>
      </w:r>
    </w:p>
    <w:p w:rsidR="0097136B" w:rsidRPr="002A2D4A" w:rsidRDefault="00C53A42" w:rsidP="0097136B">
      <w:pPr>
        <w:spacing w:before="86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-оснащенности  медицинским оборудованием в соответствии с Порядками и станда</w:t>
      </w:r>
      <w:r w:rsidR="0097136B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ртами оказания медицинской помощ</w:t>
      </w: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по данному  профилю травматологического отделения (Травматологический центр  2 уровня</w:t>
      </w:r>
      <w:r w:rsidR="0097136B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);</w:t>
      </w:r>
    </w:p>
    <w:p w:rsidR="00C53A42" w:rsidRPr="002A2D4A" w:rsidRDefault="0097136B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обеспеченности врачами травматологами-3 </w:t>
      </w:r>
      <w:proofErr w:type="gramStart"/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физических</w:t>
      </w:r>
      <w:proofErr w:type="gramEnd"/>
      <w:r w:rsidR="00C53A42"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лица, их профессионализму  совме</w:t>
      </w: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стно  с врачами реаниматологами;</w:t>
      </w:r>
    </w:p>
    <w:p w:rsidR="00C53A42" w:rsidRPr="002A2D4A" w:rsidRDefault="00C53A42" w:rsidP="0097136B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5. Результат работы - снижение смертности от ДТП на  40%. </w:t>
      </w:r>
    </w:p>
    <w:p w:rsidR="00C53A42" w:rsidRPr="002A2D4A" w:rsidRDefault="00C53A42" w:rsidP="00C53A42">
      <w:pPr>
        <w:rPr>
          <w:rFonts w:ascii="Times New Roman" w:hAnsi="Times New Roman" w:cs="Times New Roman"/>
          <w:sz w:val="28"/>
          <w:szCs w:val="28"/>
        </w:rPr>
      </w:pPr>
    </w:p>
    <w:p w:rsidR="00C53A42" w:rsidRPr="002A2D4A" w:rsidRDefault="00C53A42" w:rsidP="00C53A42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Пока</w:t>
      </w:r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>затель младенческой смертности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за 12 месяцев 2015 года снизился  по сравнению с  2014 г. с 10,1 до 9,8 и является самым низким за весь период мониторинга.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</w:r>
    </w:p>
    <w:p w:rsidR="00C53A42" w:rsidRPr="002A2D4A" w:rsidRDefault="00C53A42" w:rsidP="00C53A42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Основными </w:t>
      </w:r>
      <w:proofErr w:type="spellStart"/>
      <w:r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>причинами</w:t>
      </w:r>
      <w:r w:rsidR="0097136B" w:rsidRPr="002A2D4A">
        <w:rPr>
          <w:rFonts w:eastAsiaTheme="minorEastAsia"/>
          <w:color w:val="000000" w:themeColor="text1"/>
          <w:kern w:val="24"/>
          <w:sz w:val="28"/>
          <w:szCs w:val="28"/>
        </w:rPr>
        <w:t>младенческой</w:t>
      </w:r>
      <w:proofErr w:type="spellEnd"/>
      <w:r w:rsidR="0097136B"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 смертности являются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C53A42" w:rsidRPr="002A2D4A" w:rsidRDefault="00C53A42" w:rsidP="00C53A42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Врожденные пороки развития -60%</w:t>
      </w:r>
    </w:p>
    <w:p w:rsidR="00C53A42" w:rsidRPr="002A2D4A" w:rsidRDefault="00C53A42" w:rsidP="00C53A42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proofErr w:type="gramStart"/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Отдельные состояния перинатального периода-10%</w:t>
      </w:r>
      <w:proofErr w:type="gramEnd"/>
    </w:p>
    <w:p w:rsidR="00C53A42" w:rsidRPr="002A2D4A" w:rsidRDefault="00C53A42" w:rsidP="00C53A42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болезни органов дыхания-20%</w:t>
      </w:r>
    </w:p>
    <w:p w:rsidR="00C53A42" w:rsidRPr="002A2D4A" w:rsidRDefault="00C53A42" w:rsidP="00C53A42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Прочие-10%</w:t>
      </w:r>
    </w:p>
    <w:p w:rsidR="00C53A42" w:rsidRPr="002A2D4A" w:rsidRDefault="00C53A42" w:rsidP="0097136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По месту смерти</w:t>
      </w:r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</w:t>
      </w:r>
      <w:proofErr w:type="gramStart"/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областная</w:t>
      </w:r>
      <w:proofErr w:type="gramEnd"/>
      <w:r w:rsidRPr="002A2D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больница-5; родильное отделение-2; педиатрическое отделение-1; дома-2.</w:t>
      </w:r>
    </w:p>
    <w:p w:rsidR="00C53A42" w:rsidRPr="002A2D4A" w:rsidRDefault="00C53A42" w:rsidP="00C53A42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ab/>
        <w:t>Структура  младенческой смертности   соответствует общемировой структуре.</w:t>
      </w:r>
    </w:p>
    <w:p w:rsidR="00C53A42" w:rsidRPr="002A2D4A" w:rsidRDefault="00C53A42" w:rsidP="00C53A42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Всего умерло по городу 6 детей, показатель младенческой смертности -10,4, по району-4 ребенка, показатель младенческой смертности-8,9. </w:t>
      </w:r>
    </w:p>
    <w:p w:rsidR="00C53A42" w:rsidRPr="002A2D4A" w:rsidRDefault="00C53A42" w:rsidP="00C53A42">
      <w:pPr>
        <w:pStyle w:val="a3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 xml:space="preserve">Управляемых </w:t>
      </w:r>
      <w:r w:rsidR="0097136B" w:rsidRPr="002A2D4A">
        <w:rPr>
          <w:rFonts w:eastAsiaTheme="minorEastAsia"/>
          <w:color w:val="000000" w:themeColor="text1"/>
          <w:kern w:val="24"/>
          <w:sz w:val="28"/>
          <w:szCs w:val="28"/>
        </w:rPr>
        <w:t>причин смертности-5; условно-упр</w:t>
      </w: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t>авляемых-1; неуправляемых-4. Все случаи подвергнуты внутриведомственной экспертизе: применено дисциплинарных взысканий-3, снижений стимулирующих выплат-3.</w:t>
      </w:r>
    </w:p>
    <w:p w:rsidR="00C53A42" w:rsidRPr="002A2D4A" w:rsidRDefault="00C53A42" w:rsidP="0097136B">
      <w:pPr>
        <w:pStyle w:val="a3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2A2D4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ab/>
      </w:r>
      <w:r w:rsidR="0097136B" w:rsidRPr="002A2D4A">
        <w:rPr>
          <w:rFonts w:eastAsiaTheme="minorEastAsia"/>
          <w:b/>
          <w:color w:val="000000" w:themeColor="text1"/>
          <w:kern w:val="24"/>
          <w:sz w:val="28"/>
          <w:szCs w:val="28"/>
        </w:rPr>
        <w:t>ВИЧ-Инфекция</w:t>
      </w:r>
    </w:p>
    <w:p w:rsidR="00C53A42" w:rsidRPr="0007208E" w:rsidRDefault="00C53A42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07208E">
        <w:rPr>
          <w:rFonts w:ascii="Times New Roman" w:hAnsi="Times New Roman" w:cs="Times New Roman"/>
          <w:bCs/>
          <w:sz w:val="28"/>
          <w:szCs w:val="28"/>
        </w:rPr>
        <w:t xml:space="preserve">Динамика заболеваемости ВИЧ-инфекцией за 5 лет в Иркутской области сопоставима с динамикой показателей в целом по СФО, в течение последних двух лет переместилась на 3 место в СФО и 4 место по РФ. Преобладает половой путь передачи, который составляет по итогам 2015 года 78%, удельный вес  инъекционно-наркотического  пути передачи – 20,3%,  доля вертикального пути передачи  от матери ребенку  -  1,7%. </w:t>
      </w:r>
    </w:p>
    <w:p w:rsidR="00253252" w:rsidRPr="002A2D4A" w:rsidRDefault="00C53A42" w:rsidP="00253252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</w:r>
      <w:r w:rsidR="00253252" w:rsidRPr="002A2D4A">
        <w:rPr>
          <w:rFonts w:ascii="Times New Roman" w:hAnsi="Times New Roman" w:cs="Times New Roman"/>
          <w:sz w:val="28"/>
          <w:szCs w:val="28"/>
        </w:rPr>
        <w:t xml:space="preserve">Всего ВИЧ-инфицированных на территории Тулуна и Тулунского района зарегистрировано 570 человек. Получают антиретровирусную терапию 140 человек. Показатель заболеваемости на 100 000 взрослого населения составляет в 2015 году-176,1. Показатель смертности на 100 000 населения от ВИЧ-инфекции в 2014 году-20,4;  в 2015 году-41,1. За 2015 год в Тулунском районе зарегистрировано 26 человек </w:t>
      </w:r>
      <w:proofErr w:type="gramStart"/>
      <w:r w:rsidR="00253252" w:rsidRPr="002A2D4A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 w:rsidR="00253252" w:rsidRPr="002A2D4A">
        <w:rPr>
          <w:rFonts w:ascii="Times New Roman" w:hAnsi="Times New Roman" w:cs="Times New Roman"/>
          <w:sz w:val="28"/>
          <w:szCs w:val="28"/>
        </w:rPr>
        <w:t>. Из них 14 мужчин, 12 женщин</w:t>
      </w:r>
      <w:r w:rsidR="00221184" w:rsidRPr="002A2D4A">
        <w:rPr>
          <w:rFonts w:ascii="Times New Roman" w:hAnsi="Times New Roman" w:cs="Times New Roman"/>
          <w:sz w:val="28"/>
          <w:szCs w:val="28"/>
        </w:rPr>
        <w:t xml:space="preserve">, 1 подросток. Преобладающий возраст-25-35 лет, 2 случая в возрасте старше 50 лет. Преобладает половой путь передачи.  За 1 квартал 2016 года вновь выявлено 14 случаев,  в том числе двое детей до 1года;  1-  6 лет.  Случаев ВИЧ в сочетании с туберкулезом-4человека. </w:t>
      </w:r>
    </w:p>
    <w:p w:rsidR="00C53A42" w:rsidRPr="002A2D4A" w:rsidRDefault="00C53A42" w:rsidP="00221184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В марте 2016года с целью выполнений рекомендаций МЗ И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по результатам сдачи годового отчета  за 2015 год направлены письма  мэру  г. Тулуна об утверждении Программы «Анти ВИЧ/СПИД» муниципального образования г.Тулун и  рассмотрении на межведомственном координационном совете вопроса приоритетного финансирования мероприятий по информированию населения о профилактике ВИЧ-инфекции; 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мэру Тулунского муниципального района с просьбой рассмотреть на межведомственном координационном совете вопрос приоритетного финансирования мероприятий по информированию населения о профилактике ВИЧ-инфекции.</w:t>
      </w:r>
      <w:proofErr w:type="gramEnd"/>
    </w:p>
    <w:p w:rsidR="004E61CD" w:rsidRPr="002A2D4A" w:rsidRDefault="004E61CD" w:rsidP="004E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4A">
        <w:rPr>
          <w:rFonts w:ascii="Times New Roman" w:hAnsi="Times New Roman" w:cs="Times New Roman"/>
          <w:b/>
          <w:sz w:val="28"/>
          <w:szCs w:val="28"/>
        </w:rPr>
        <w:t>Туберкулез: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Охват населения всеми видами профилактических осмотров на </w:t>
      </w:r>
      <w:r w:rsidRPr="002A2D4A">
        <w:rPr>
          <w:rFonts w:ascii="Times New Roman" w:hAnsi="Times New Roman" w:cs="Times New Roman"/>
          <w:b/>
          <w:sz w:val="28"/>
          <w:szCs w:val="28"/>
        </w:rPr>
        <w:t>туберкуле</w:t>
      </w:r>
      <w:r w:rsidRPr="002A2D4A">
        <w:rPr>
          <w:rFonts w:ascii="Times New Roman" w:hAnsi="Times New Roman" w:cs="Times New Roman"/>
          <w:sz w:val="28"/>
          <w:szCs w:val="28"/>
        </w:rPr>
        <w:t>з в 2014 году составил по району 48,2%,  по городу 75,1%.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В 2015 году по району -55,8%,  по городу- 92%. При проведении профилактических осмотров выявлен туберкулез у 46 человек.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План профилактических осмотров на туберкулез по району в  2016г.- 15964 человека.  За 1 квартал 2016г. прошло ФЛ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исследований-2367 человек, что составило 14,8% от годового плана. Низкий процент ФЛГ обследования объясняется отсутствием выездов  в январе 2016года в связи с экстремальным </w:t>
      </w:r>
      <w:r w:rsidRPr="002A2D4A">
        <w:rPr>
          <w:rFonts w:ascii="Times New Roman" w:hAnsi="Times New Roman" w:cs="Times New Roman"/>
          <w:sz w:val="28"/>
          <w:szCs w:val="28"/>
        </w:rPr>
        <w:lastRenderedPageBreak/>
        <w:t>температурным режимом, временной неисправностью   передвижной ФЛГ-установки в марте, апреле 2016 года.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В 2016 году для проведения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 xml:space="preserve"> необходимо 34 тысячи доз туберкулина. В первом полугодии получено 10,5тыс. доз туберкулина. Во втором полугодии ожидается плановая поставка остального количества туберкулина. 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Общая заболеваемость туберкулезом на 100 000 населения в 2014 году по городу составила 269,3;  по району-140,0. Низкий показатель   заболеваемости  по району в 2014 году объясняется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недовыявляемостью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 xml:space="preserve"> заболевания в связи с низким процентом профилактических осмотров на туберкулез- 48,2.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За 2015 год  показатель заболеваемости по городу -164,0;  по району-203. Увеличение заболеваемости по району связано с возобновлением в 2015 году выездной формы флюорографического обследования населения. Имела место недостаточно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работа первичного звена здравоохранения по организации адресного флюорографического обследования населения. 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В сравнении с 2014 годом в 2015 году показатель смертности  от туберкулеза снизился с 38,4 до 35,3.Среднеобластной показатель  23,5 на 100 000 населения.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Случаев посмертной диагностики туберкулеза зарегистрировано не было.                                          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В ОГБУЗ  «Тулунская городская  больница» в 2015 году привлечено к лечению 25 пациентов, прервавших лечение, по решению суда. Благодаря межведомственному взаимодействию   пациенты продолжают специфическое лечение. </w:t>
      </w:r>
    </w:p>
    <w:p w:rsidR="004E61CD" w:rsidRPr="002A2D4A" w:rsidRDefault="004E61CD" w:rsidP="004E61CD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b/>
          <w:sz w:val="28"/>
          <w:szCs w:val="28"/>
        </w:rPr>
        <w:t>По району</w:t>
      </w:r>
      <w:r w:rsidRPr="002A2D4A">
        <w:rPr>
          <w:rFonts w:ascii="Times New Roman" w:hAnsi="Times New Roman" w:cs="Times New Roman"/>
          <w:sz w:val="28"/>
          <w:szCs w:val="28"/>
        </w:rPr>
        <w:t xml:space="preserve"> показатель смертности от туберкулеза на 100 000 населения в 2014 году составил 53,2, в 2015 году имеет тенденцию к снижению-49,0.</w:t>
      </w:r>
    </w:p>
    <w:p w:rsidR="00C53A42" w:rsidRPr="002A2D4A" w:rsidRDefault="004E61CD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Аналогичный показатель за 2014 год </w:t>
      </w:r>
      <w:r w:rsidRPr="002A2D4A">
        <w:rPr>
          <w:rFonts w:ascii="Times New Roman" w:hAnsi="Times New Roman" w:cs="Times New Roman"/>
          <w:b/>
          <w:sz w:val="28"/>
          <w:szCs w:val="28"/>
        </w:rPr>
        <w:t>по городу</w:t>
      </w:r>
      <w:r w:rsidRPr="002A2D4A">
        <w:rPr>
          <w:rFonts w:ascii="Times New Roman" w:hAnsi="Times New Roman" w:cs="Times New Roman"/>
          <w:sz w:val="28"/>
          <w:szCs w:val="28"/>
        </w:rPr>
        <w:t xml:space="preserve"> -28,3;  в 2015 году- 26,2. Целевой показатель ИО в 2014году-34,5%. Заболеваемость  и смертность от туберкулеза являются отражением уровня жизни населения: среднегодовой доход на душу населения в 2015 году составил 8336 рублей. Из 50528 человек трудоспособного возраста на территории имеют работу 18917 человек, что составляет 37,4%, причем на селе уровень занятости меньше. Заболевают и умирают от туберкулеза лица с низким социальным статусом: лица, имеющие тяжелую алкогольную зависимость, ВИЧ-инфицированные лица, потребители инъекционных наркотиков, имеющие отрицательную мотивацию к обследованию, лечению. Анализ «оторвавшихся» от лечения по району показал, что наибольшее количество лиц, не мотивированных на лечение по Гуранской участковой больнице-40%;  33,3%- по Икейской участковой больнице; 16,7%- по Котикской </w:t>
      </w:r>
      <w:r w:rsidRPr="002A2D4A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больнице; 10%- по Шерагульской участковой больнице. Расследовано  2 случая смертности от туберкулеза у лиц с инфильтративными тенями, диагностированными прижизненно с помощью ФЛГ метода исследования по Гуранской участковой больнице. В обоих случаях имеет место недостаточно активное привлечение к обследованию и лечению социально неблагополучных лиц  первичным звеном здравоохранения. Заведующим Гуранской, Икейской, Котикской участковой больницей рекомендовано активизировать работу совместно с противотуберкулезным диспансером по учету, привлечению к лечению лиц с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флюорографическими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изменениями ОГК, лиц, больных туберкулезом. С целью повышения санитарной грамотности населения в отношении туберкулеза необходимо финансирование  Целевых муниципальных программ г. </w:t>
      </w:r>
      <w:r w:rsidR="00046DE5" w:rsidRPr="002A2D4A">
        <w:rPr>
          <w:rFonts w:ascii="Times New Roman" w:hAnsi="Times New Roman" w:cs="Times New Roman"/>
          <w:sz w:val="28"/>
          <w:szCs w:val="28"/>
        </w:rPr>
        <w:t>Тулуна и Тулунского района</w:t>
      </w:r>
      <w:r w:rsidRPr="002A2D4A">
        <w:rPr>
          <w:rFonts w:ascii="Times New Roman" w:hAnsi="Times New Roman" w:cs="Times New Roman"/>
          <w:sz w:val="28"/>
          <w:szCs w:val="28"/>
        </w:rPr>
        <w:t>, направленных на охрану здоровья населения.</w:t>
      </w:r>
      <w:r w:rsidR="00C53A42" w:rsidRPr="002A2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3A42" w:rsidRPr="002A2D4A">
        <w:rPr>
          <w:rFonts w:ascii="Times New Roman" w:hAnsi="Times New Roman" w:cs="Times New Roman"/>
          <w:sz w:val="28"/>
          <w:szCs w:val="28"/>
        </w:rPr>
        <w:tab/>
      </w:r>
    </w:p>
    <w:p w:rsidR="00BE58BF" w:rsidRPr="002A2D4A" w:rsidRDefault="00BE58BF" w:rsidP="00BE5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4A">
        <w:rPr>
          <w:rFonts w:ascii="Times New Roman" w:hAnsi="Times New Roman" w:cs="Times New Roman"/>
          <w:b/>
          <w:sz w:val="28"/>
          <w:szCs w:val="28"/>
        </w:rPr>
        <w:t xml:space="preserve">             Диспансеризация определенных гру</w:t>
      </w:r>
      <w:proofErr w:type="gramStart"/>
      <w:r w:rsidRPr="002A2D4A">
        <w:rPr>
          <w:rFonts w:ascii="Times New Roman" w:hAnsi="Times New Roman" w:cs="Times New Roman"/>
          <w:b/>
          <w:sz w:val="28"/>
          <w:szCs w:val="28"/>
        </w:rPr>
        <w:t>пп взр</w:t>
      </w:r>
      <w:proofErr w:type="gramEnd"/>
      <w:r w:rsidRPr="002A2D4A">
        <w:rPr>
          <w:rFonts w:ascii="Times New Roman" w:hAnsi="Times New Roman" w:cs="Times New Roman"/>
          <w:b/>
          <w:sz w:val="28"/>
          <w:szCs w:val="28"/>
        </w:rPr>
        <w:t>ослого населения</w:t>
      </w:r>
    </w:p>
    <w:p w:rsidR="00BE58BF" w:rsidRPr="002A2D4A" w:rsidRDefault="00BE58BF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Д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испансеризации населения позволяет </w:t>
      </w:r>
    </w:p>
    <w:p w:rsidR="00BE58BF" w:rsidRPr="002A2D4A" w:rsidRDefault="00BE58BF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-</w:t>
      </w:r>
      <w:r w:rsidR="00C53A42" w:rsidRPr="002A2D4A">
        <w:rPr>
          <w:rFonts w:ascii="Times New Roman" w:hAnsi="Times New Roman" w:cs="Times New Roman"/>
          <w:sz w:val="28"/>
          <w:szCs w:val="28"/>
        </w:rPr>
        <w:t>своевременно выявить</w:t>
      </w:r>
      <w:r w:rsidRPr="002A2D4A">
        <w:rPr>
          <w:rFonts w:ascii="Times New Roman" w:hAnsi="Times New Roman" w:cs="Times New Roman"/>
          <w:sz w:val="28"/>
          <w:szCs w:val="28"/>
        </w:rPr>
        <w:t xml:space="preserve"> основные хронические неинфекционные заболевания, являющиеся причинами заболеваемости, инвалидности, смертности 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:</w:t>
      </w:r>
      <w:r w:rsidR="00C53A42" w:rsidRPr="002A2D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3A42" w:rsidRPr="002A2D4A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spellEnd"/>
      <w:r w:rsidR="00C53A42" w:rsidRPr="002A2D4A">
        <w:rPr>
          <w:rFonts w:ascii="Times New Roman" w:hAnsi="Times New Roman" w:cs="Times New Roman"/>
          <w:sz w:val="28"/>
          <w:szCs w:val="28"/>
        </w:rPr>
        <w:t>, онкологические заболевания, болезни обмена в</w:t>
      </w:r>
      <w:r w:rsidRPr="002A2D4A">
        <w:rPr>
          <w:rFonts w:ascii="Times New Roman" w:hAnsi="Times New Roman" w:cs="Times New Roman"/>
          <w:sz w:val="28"/>
          <w:szCs w:val="28"/>
        </w:rPr>
        <w:t xml:space="preserve">еществ и репродуктивной системы; </w:t>
      </w:r>
    </w:p>
    <w:p w:rsidR="00BE58BF" w:rsidRPr="002A2D4A" w:rsidRDefault="00BE58BF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-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провести полноценное лечение, </w:t>
      </w:r>
    </w:p>
    <w:p w:rsidR="00BE58BF" w:rsidRPr="002A2D4A" w:rsidRDefault="00BE58BF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-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proofErr w:type="spellStart"/>
      <w:r w:rsidR="00C53A42" w:rsidRPr="002A2D4A">
        <w:rPr>
          <w:rFonts w:ascii="Times New Roman" w:hAnsi="Times New Roman" w:cs="Times New Roman"/>
          <w:sz w:val="28"/>
          <w:szCs w:val="28"/>
        </w:rPr>
        <w:t>инвалидизацию</w:t>
      </w:r>
      <w:proofErr w:type="spellEnd"/>
      <w:r w:rsidR="00C53A42" w:rsidRPr="002A2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A42" w:rsidRPr="002A2D4A" w:rsidRDefault="00BE58BF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-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сохранить здоровье и репродуктивный потенциал населения. </w:t>
      </w:r>
    </w:p>
    <w:p w:rsidR="00C53A42" w:rsidRPr="002A2D4A" w:rsidRDefault="00C53A42" w:rsidP="00BE5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ab/>
        <w:t xml:space="preserve">Проведен анализ выполнения плана диспансеризации за 2015 год. Выполнение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плана первого этапа диспансеризации определенных групп взрослого населения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составило 95,2%. Процент прохождения населением  2-го этапа диспансеризации по учреждению составил 18,7, при стандарте не менее 20%. Недовыполнение плана на 1,3% при положительной динамике по сравнению с 2014 годом</w:t>
      </w:r>
      <w:r w:rsidR="00BE58BF" w:rsidRPr="002A2D4A">
        <w:rPr>
          <w:rFonts w:ascii="Times New Roman" w:hAnsi="Times New Roman" w:cs="Times New Roman"/>
          <w:sz w:val="28"/>
          <w:szCs w:val="28"/>
        </w:rPr>
        <w:t>.</w:t>
      </w:r>
    </w:p>
    <w:p w:rsidR="00C53A42" w:rsidRPr="002A2D4A" w:rsidRDefault="00BE58BF" w:rsidP="00BE5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Пациенты по показаниям направляются в областные лечебные учреждения для получения ВТМП. 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В 2015 году получили </w:t>
      </w:r>
      <w:r w:rsidR="00C53A42" w:rsidRPr="002A2D4A">
        <w:rPr>
          <w:rFonts w:ascii="Times New Roman" w:hAnsi="Times New Roman" w:cs="Times New Roman"/>
          <w:b/>
          <w:sz w:val="28"/>
          <w:szCs w:val="28"/>
        </w:rPr>
        <w:t>высокотехнологичную медицинскую помощь:</w:t>
      </w:r>
    </w:p>
    <w:p w:rsidR="00A3201E" w:rsidRPr="002A2D4A" w:rsidRDefault="007900BB" w:rsidP="00BE58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D4A">
        <w:rPr>
          <w:rFonts w:ascii="Times New Roman" w:hAnsi="Times New Roman" w:cs="Times New Roman"/>
          <w:sz w:val="28"/>
          <w:szCs w:val="28"/>
        </w:rPr>
        <w:t>Аорто-коронарное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шунтирование-6;</w:t>
      </w:r>
    </w:p>
    <w:p w:rsidR="00A3201E" w:rsidRPr="002A2D4A" w:rsidRDefault="007900BB" w:rsidP="00BE58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D4A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 xml:space="preserve"> коронарных артерий-7;</w:t>
      </w:r>
    </w:p>
    <w:p w:rsidR="00A3201E" w:rsidRPr="002A2D4A" w:rsidRDefault="007900BB" w:rsidP="00BE58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lastRenderedPageBreak/>
        <w:t>Протезирование клапанов сердца-5;</w:t>
      </w:r>
    </w:p>
    <w:p w:rsidR="00A3201E" w:rsidRPr="002A2D4A" w:rsidRDefault="007900BB" w:rsidP="00BE58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D4A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 xml:space="preserve"> суставов-13;</w:t>
      </w:r>
    </w:p>
    <w:p w:rsidR="00A3201E" w:rsidRPr="002A2D4A" w:rsidRDefault="007900BB" w:rsidP="00BE58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Коррекция сосудов-1;</w:t>
      </w:r>
    </w:p>
    <w:p w:rsidR="00BE58BF" w:rsidRPr="002A2D4A" w:rsidRDefault="007900BB" w:rsidP="00BE58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Вмешательства на позвоночнике-3.</w:t>
      </w:r>
    </w:p>
    <w:p w:rsidR="008B0FA2" w:rsidRPr="002A2D4A" w:rsidRDefault="008B0FA2" w:rsidP="008B0F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703F" w:rsidRPr="002A2D4A" w:rsidRDefault="00046DE5" w:rsidP="00046D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4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</w:p>
    <w:p w:rsidR="00046DE5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1. Продолжить работу по снижению показателей смертности по основным классам: кровообращение, новообразование, внешн</w:t>
      </w:r>
      <w:r w:rsidR="008B0FA2" w:rsidRPr="002A2D4A">
        <w:rPr>
          <w:rFonts w:ascii="Times New Roman" w:hAnsi="Times New Roman" w:cs="Times New Roman"/>
          <w:sz w:val="28"/>
          <w:szCs w:val="28"/>
        </w:rPr>
        <w:t>ие причины, системы пищеварения в соответствии с утвержденными планами.</w:t>
      </w:r>
      <w:r w:rsidRPr="002A2D4A">
        <w:rPr>
          <w:rFonts w:ascii="Times New Roman" w:hAnsi="Times New Roman" w:cs="Times New Roman"/>
          <w:sz w:val="28"/>
          <w:szCs w:val="28"/>
        </w:rPr>
        <w:tab/>
      </w:r>
    </w:p>
    <w:p w:rsidR="00C53A42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2. Повышение доступности оказания медицинской помощи:</w:t>
      </w:r>
    </w:p>
    <w:p w:rsidR="00A3201E" w:rsidRPr="002A2D4A" w:rsidRDefault="007900BB" w:rsidP="00046D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с учетом сезонности и климатических условий;</w:t>
      </w:r>
    </w:p>
    <w:p w:rsidR="00A3201E" w:rsidRPr="002A2D4A" w:rsidRDefault="007900BB" w:rsidP="00046D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максимальный охват населения выездными формами обследования;</w:t>
      </w:r>
    </w:p>
    <w:p w:rsidR="00A3201E" w:rsidRPr="002A2D4A" w:rsidRDefault="007900BB" w:rsidP="00046D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разумная комплектация и оснащение бригад;</w:t>
      </w:r>
    </w:p>
    <w:p w:rsidR="00A3201E" w:rsidRPr="002A2D4A" w:rsidRDefault="007900BB" w:rsidP="00046D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тесное взаимодействие с администрациями муниципальных образований </w:t>
      </w:r>
    </w:p>
    <w:p w:rsidR="00A3201E" w:rsidRPr="002A2D4A" w:rsidRDefault="007900BB" w:rsidP="00046D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амбулаторно-поликлинических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учреждения в праздничные и выходные дни.</w:t>
      </w:r>
    </w:p>
    <w:p w:rsidR="00C53A42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3. Продолжение перехода на новые способы оплаты медицинской помощи на основе клинико-статистических групп.</w:t>
      </w:r>
    </w:p>
    <w:p w:rsidR="00C53A42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 xml:space="preserve">4. Продолжение реализации майских Указов Президента РФ, в </w:t>
      </w:r>
      <w:proofErr w:type="spellStart"/>
      <w:r w:rsidRPr="002A2D4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2D4A">
        <w:rPr>
          <w:rFonts w:ascii="Times New Roman" w:hAnsi="Times New Roman" w:cs="Times New Roman"/>
          <w:sz w:val="28"/>
          <w:szCs w:val="28"/>
        </w:rPr>
        <w:t>. по повышению заработной платы отдельным категориям работников.</w:t>
      </w:r>
    </w:p>
    <w:p w:rsidR="00C53A42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5. Организовать мероприятия по выполнению объемов медицинской помощи, утвержденных территориальной программой государственных гарантий бесплатного оказания гражданам медицинской помощи в Иркутской области на 2016 год строго в соответствии с нормативами, обеспечить соблюдение сроков оказания медицинской помощи. Принять меры по предотвращению необоснованной госпитализации.</w:t>
      </w:r>
    </w:p>
    <w:p w:rsidR="00C53A42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6.  В 2016 году начинается процесс перехода на новый стандарт организации регистратуры медицинской организации. Введение принципов этики и деонтологии.</w:t>
      </w:r>
    </w:p>
    <w:p w:rsidR="00C53A42" w:rsidRPr="002A2D4A" w:rsidRDefault="00C53A42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46DE5" w:rsidRPr="002A2D4A">
        <w:rPr>
          <w:rFonts w:ascii="Times New Roman" w:hAnsi="Times New Roman" w:cs="Times New Roman"/>
          <w:sz w:val="28"/>
          <w:szCs w:val="28"/>
        </w:rPr>
        <w:t>. Р</w:t>
      </w:r>
      <w:r w:rsidRPr="002A2D4A">
        <w:rPr>
          <w:rFonts w:ascii="Times New Roman" w:hAnsi="Times New Roman" w:cs="Times New Roman"/>
          <w:sz w:val="28"/>
          <w:szCs w:val="28"/>
        </w:rPr>
        <w:t xml:space="preserve">азвитие стационарзамещающих форм организации и оказания медицинской помощи населению, перераспределение части ее объемов из стационарного сектора в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амбулаторный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A42" w:rsidRPr="002A2D4A" w:rsidRDefault="00046DE5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8</w:t>
      </w:r>
      <w:r w:rsidR="00C53A42" w:rsidRPr="002A2D4A">
        <w:rPr>
          <w:rFonts w:ascii="Times New Roman" w:hAnsi="Times New Roman" w:cs="Times New Roman"/>
          <w:sz w:val="28"/>
          <w:szCs w:val="28"/>
        </w:rPr>
        <w:t>.Организация ведомственного и вневедомственного контроля качества оказания медицинской помощи на новом уровне.</w:t>
      </w:r>
      <w:r w:rsidR="00C53A42" w:rsidRPr="002A2D4A">
        <w:rPr>
          <w:rFonts w:ascii="Times New Roman" w:hAnsi="Times New Roman" w:cs="Times New Roman"/>
          <w:sz w:val="28"/>
          <w:szCs w:val="28"/>
        </w:rPr>
        <w:tab/>
      </w:r>
      <w:r w:rsidR="00C53A42" w:rsidRPr="002A2D4A">
        <w:rPr>
          <w:rFonts w:ascii="Times New Roman" w:hAnsi="Times New Roman" w:cs="Times New Roman"/>
          <w:sz w:val="28"/>
          <w:szCs w:val="28"/>
        </w:rPr>
        <w:tab/>
      </w:r>
    </w:p>
    <w:p w:rsidR="00C53A42" w:rsidRPr="002A2D4A" w:rsidRDefault="00046DE5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9</w:t>
      </w:r>
      <w:r w:rsidR="00C53A42" w:rsidRPr="002A2D4A">
        <w:rPr>
          <w:rFonts w:ascii="Times New Roman" w:hAnsi="Times New Roman" w:cs="Times New Roman"/>
          <w:sz w:val="28"/>
          <w:szCs w:val="28"/>
        </w:rPr>
        <w:t>. Проведение диспансеризации и профилактических осмотров населения. Выполнение плана диспансеризации не менее 95%, направление на второй этап – не менее 20%.</w:t>
      </w:r>
    </w:p>
    <w:p w:rsidR="00C53A42" w:rsidRPr="002A2D4A" w:rsidRDefault="00046DE5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10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. В целях обеспечения максимальной доступности, эффективности, безопасности, экономии денежных средств закупку товаров проводить  в </w:t>
      </w:r>
      <w:proofErr w:type="gramStart"/>
      <w:r w:rsidR="00C53A42" w:rsidRPr="002A2D4A">
        <w:rPr>
          <w:rFonts w:ascii="Times New Roman" w:hAnsi="Times New Roman" w:cs="Times New Roman"/>
          <w:sz w:val="28"/>
          <w:szCs w:val="28"/>
        </w:rPr>
        <w:t>строгом</w:t>
      </w:r>
      <w:proofErr w:type="gramEnd"/>
      <w:r w:rsidR="00C53A42" w:rsidRPr="002A2D4A">
        <w:rPr>
          <w:rFonts w:ascii="Times New Roman" w:hAnsi="Times New Roman" w:cs="Times New Roman"/>
          <w:sz w:val="28"/>
          <w:szCs w:val="28"/>
        </w:rPr>
        <w:t xml:space="preserve"> соответствии с нормами федерального законодательства.</w:t>
      </w:r>
    </w:p>
    <w:p w:rsidR="00C53A42" w:rsidRPr="002A2D4A" w:rsidRDefault="00046DE5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11</w:t>
      </w:r>
      <w:r w:rsidR="00C53A42" w:rsidRPr="002A2D4A">
        <w:rPr>
          <w:rFonts w:ascii="Times New Roman" w:hAnsi="Times New Roman" w:cs="Times New Roman"/>
          <w:sz w:val="28"/>
          <w:szCs w:val="28"/>
        </w:rPr>
        <w:t>. Довести охват населения иммунизацией от гриппа не менее 35%, особенный акцент на детей раннего и дошкольного возрастов, и групп профессионального риска.</w:t>
      </w:r>
    </w:p>
    <w:p w:rsidR="00C53A42" w:rsidRPr="002A2D4A" w:rsidRDefault="00046DE5" w:rsidP="00046DE5">
      <w:pPr>
        <w:jc w:val="both"/>
        <w:rPr>
          <w:rFonts w:ascii="Times New Roman" w:hAnsi="Times New Roman" w:cs="Times New Roman"/>
          <w:sz w:val="28"/>
          <w:szCs w:val="28"/>
        </w:rPr>
      </w:pPr>
      <w:r w:rsidRPr="002A2D4A">
        <w:rPr>
          <w:rFonts w:ascii="Times New Roman" w:hAnsi="Times New Roman" w:cs="Times New Roman"/>
          <w:sz w:val="28"/>
          <w:szCs w:val="28"/>
        </w:rPr>
        <w:t>12</w:t>
      </w:r>
      <w:r w:rsidR="00C53A42" w:rsidRPr="002A2D4A">
        <w:rPr>
          <w:rFonts w:ascii="Times New Roman" w:hAnsi="Times New Roman" w:cs="Times New Roman"/>
          <w:sz w:val="28"/>
          <w:szCs w:val="28"/>
        </w:rPr>
        <w:t xml:space="preserve">. </w:t>
      </w:r>
      <w:r w:rsidRPr="002A2D4A">
        <w:rPr>
          <w:rFonts w:ascii="Times New Roman" w:hAnsi="Times New Roman" w:cs="Times New Roman"/>
          <w:sz w:val="28"/>
          <w:szCs w:val="28"/>
        </w:rPr>
        <w:t xml:space="preserve">Увеличить долю  пациентов с заболеваниями желудочно-кишечного тракта, органов дыхания, кровообращения, состоящих на диспансерном </w:t>
      </w:r>
      <w:proofErr w:type="gramStart"/>
      <w:r w:rsidRPr="002A2D4A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2A2D4A">
        <w:rPr>
          <w:rFonts w:ascii="Times New Roman" w:hAnsi="Times New Roman" w:cs="Times New Roman"/>
          <w:sz w:val="28"/>
          <w:szCs w:val="28"/>
        </w:rPr>
        <w:t xml:space="preserve"> у терапевта до 65%.</w:t>
      </w:r>
    </w:p>
    <w:p w:rsidR="00046DE5" w:rsidRPr="002A2D4A" w:rsidRDefault="00046DE5" w:rsidP="00046DE5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2A2D4A">
        <w:rPr>
          <w:rFonts w:cs="Times New Roman"/>
          <w:sz w:val="28"/>
          <w:szCs w:val="28"/>
        </w:rPr>
        <w:t>13. Обеспечить качество и доступность медицинской помощи в соответствии с Порядками и стандартами медицинской помощи больным с социально значимыми заболеваниями.</w:t>
      </w:r>
    </w:p>
    <w:p w:rsidR="00046DE5" w:rsidRPr="002A2D4A" w:rsidRDefault="00046DE5" w:rsidP="00046DE5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2A2D4A">
        <w:rPr>
          <w:rFonts w:cs="Times New Roman"/>
          <w:sz w:val="28"/>
          <w:szCs w:val="28"/>
        </w:rPr>
        <w:t>14.Работа в СМИ, школ здоровья с целью профилактики туберкулеза, ВИЧ инфекции, ССЗ, органов пищеварения.</w:t>
      </w:r>
    </w:p>
    <w:p w:rsidR="00046DE5" w:rsidRPr="002A2D4A" w:rsidRDefault="00046DE5" w:rsidP="00046DE5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2A2D4A">
        <w:rPr>
          <w:rFonts w:cs="Times New Roman"/>
          <w:sz w:val="28"/>
          <w:szCs w:val="28"/>
        </w:rPr>
        <w:t>15. Активизировать работу с органами правопорядка по привлечению к лечению пациентов, прервавших лечение, уделяя особое внимание  привлечению социально неблагополучных групп населения.</w:t>
      </w:r>
    </w:p>
    <w:p w:rsidR="00046DE5" w:rsidRPr="002A2D4A" w:rsidRDefault="00046DE5" w:rsidP="00046D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DE5" w:rsidRPr="002A2D4A" w:rsidSect="00072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0E" w:rsidRDefault="008C680E" w:rsidP="00C53A42">
      <w:pPr>
        <w:spacing w:after="0" w:line="240" w:lineRule="auto"/>
      </w:pPr>
      <w:r>
        <w:separator/>
      </w:r>
    </w:p>
  </w:endnote>
  <w:endnote w:type="continuationSeparator" w:id="0">
    <w:p w:rsidR="008C680E" w:rsidRDefault="008C680E" w:rsidP="00C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0E" w:rsidRDefault="008C680E" w:rsidP="00C53A42">
      <w:pPr>
        <w:spacing w:after="0" w:line="240" w:lineRule="auto"/>
      </w:pPr>
      <w:r>
        <w:separator/>
      </w:r>
    </w:p>
  </w:footnote>
  <w:footnote w:type="continuationSeparator" w:id="0">
    <w:p w:rsidR="008C680E" w:rsidRDefault="008C680E" w:rsidP="00C5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A9"/>
    <w:multiLevelType w:val="hybridMultilevel"/>
    <w:tmpl w:val="2506CD7A"/>
    <w:lvl w:ilvl="0" w:tplc="7FF8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4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8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C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60424"/>
    <w:multiLevelType w:val="hybridMultilevel"/>
    <w:tmpl w:val="F062823C"/>
    <w:lvl w:ilvl="0" w:tplc="CEA64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85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8F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A6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EF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CB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E2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A5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44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12027A"/>
    <w:multiLevelType w:val="hybridMultilevel"/>
    <w:tmpl w:val="521A1FD4"/>
    <w:lvl w:ilvl="0" w:tplc="90A4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C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A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E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6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AD06E3"/>
    <w:multiLevelType w:val="hybridMultilevel"/>
    <w:tmpl w:val="BDB07A66"/>
    <w:lvl w:ilvl="0" w:tplc="0BA2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2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21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4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2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B858BE"/>
    <w:multiLevelType w:val="hybridMultilevel"/>
    <w:tmpl w:val="6454552C"/>
    <w:lvl w:ilvl="0" w:tplc="0F00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2D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807B35"/>
    <w:multiLevelType w:val="hybridMultilevel"/>
    <w:tmpl w:val="F71CB428"/>
    <w:lvl w:ilvl="0" w:tplc="19BE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6B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CE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E3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4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8A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80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55A19"/>
    <w:multiLevelType w:val="hybridMultilevel"/>
    <w:tmpl w:val="73D4129C"/>
    <w:lvl w:ilvl="0" w:tplc="64D22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02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B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46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EF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AB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65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C8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2E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F075F6"/>
    <w:multiLevelType w:val="hybridMultilevel"/>
    <w:tmpl w:val="8284699A"/>
    <w:lvl w:ilvl="0" w:tplc="C2EC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4A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8F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A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CD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2B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C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376A89"/>
    <w:multiLevelType w:val="hybridMultilevel"/>
    <w:tmpl w:val="C6566FC6"/>
    <w:lvl w:ilvl="0" w:tplc="7A4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C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A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247632"/>
    <w:multiLevelType w:val="hybridMultilevel"/>
    <w:tmpl w:val="50B6E6A0"/>
    <w:lvl w:ilvl="0" w:tplc="35C4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1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6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2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6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9F21AD"/>
    <w:multiLevelType w:val="hybridMultilevel"/>
    <w:tmpl w:val="65CA6018"/>
    <w:lvl w:ilvl="0" w:tplc="0D56D7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4C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48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EC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49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8C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EE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F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1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E44E3"/>
    <w:multiLevelType w:val="hybridMultilevel"/>
    <w:tmpl w:val="FE62885C"/>
    <w:lvl w:ilvl="0" w:tplc="9B4A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6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E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6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A"/>
    <w:rsid w:val="00024EBE"/>
    <w:rsid w:val="00046DE5"/>
    <w:rsid w:val="0007208E"/>
    <w:rsid w:val="000E6E59"/>
    <w:rsid w:val="00106A93"/>
    <w:rsid w:val="001764F3"/>
    <w:rsid w:val="0021175A"/>
    <w:rsid w:val="00221184"/>
    <w:rsid w:val="00253252"/>
    <w:rsid w:val="00260A42"/>
    <w:rsid w:val="002A2D4A"/>
    <w:rsid w:val="002E2107"/>
    <w:rsid w:val="00332E31"/>
    <w:rsid w:val="0035165E"/>
    <w:rsid w:val="003761F9"/>
    <w:rsid w:val="0039113A"/>
    <w:rsid w:val="00425628"/>
    <w:rsid w:val="004E61CD"/>
    <w:rsid w:val="0064546A"/>
    <w:rsid w:val="006B345F"/>
    <w:rsid w:val="007900BB"/>
    <w:rsid w:val="007E3840"/>
    <w:rsid w:val="00813C06"/>
    <w:rsid w:val="008A4075"/>
    <w:rsid w:val="008B0FA2"/>
    <w:rsid w:val="008C680E"/>
    <w:rsid w:val="0097136B"/>
    <w:rsid w:val="00991177"/>
    <w:rsid w:val="009977C4"/>
    <w:rsid w:val="00A12D45"/>
    <w:rsid w:val="00A3201E"/>
    <w:rsid w:val="00A823F3"/>
    <w:rsid w:val="00AA703F"/>
    <w:rsid w:val="00BE58BF"/>
    <w:rsid w:val="00C50E29"/>
    <w:rsid w:val="00C53A42"/>
    <w:rsid w:val="00C67059"/>
    <w:rsid w:val="00CD0670"/>
    <w:rsid w:val="00CD272D"/>
    <w:rsid w:val="00DF540F"/>
    <w:rsid w:val="00E65E57"/>
    <w:rsid w:val="00ED7A19"/>
    <w:rsid w:val="00EE7294"/>
    <w:rsid w:val="00EF1589"/>
    <w:rsid w:val="00FC01ED"/>
    <w:rsid w:val="00FC1A55"/>
    <w:rsid w:val="00FD245F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42"/>
  </w:style>
  <w:style w:type="paragraph" w:styleId="a7">
    <w:name w:val="footer"/>
    <w:basedOn w:val="a"/>
    <w:link w:val="a8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42"/>
  </w:style>
  <w:style w:type="paragraph" w:customStyle="1" w:styleId="Textbody">
    <w:name w:val="Text body"/>
    <w:basedOn w:val="a"/>
    <w:rsid w:val="004E61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02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0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08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42"/>
  </w:style>
  <w:style w:type="paragraph" w:styleId="a7">
    <w:name w:val="footer"/>
    <w:basedOn w:val="a"/>
    <w:link w:val="a8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42"/>
  </w:style>
  <w:style w:type="paragraph" w:customStyle="1" w:styleId="Textbody">
    <w:name w:val="Text body"/>
    <w:basedOn w:val="a"/>
    <w:rsid w:val="004E61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02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0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08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0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2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3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6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8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58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2016-04-19T07:19:00Z</cp:lastPrinted>
  <dcterms:created xsi:type="dcterms:W3CDTF">2016-04-19T07:08:00Z</dcterms:created>
  <dcterms:modified xsi:type="dcterms:W3CDTF">2016-04-29T00:55:00Z</dcterms:modified>
</cp:coreProperties>
</file>